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0"/>
      </w:pPr>
      <w:r>
        <w:rPr>
          <w:rFonts w:ascii="Aptos" w:hAnsi="Aptos" w:eastAsia="Aptos"/>
          <w:b/>
          <w:color w:val="0788A5"/>
          <w:sz w:val="18"/>
        </w:rPr>
        <w:t>FINANCEMANAGER</w:t>
      </w:r>
    </w:p>
    <w:p>
      <w:pPr>
        <w:pStyle w:val="Title"/>
        <w:spacing w:before="100" w:after="240"/>
      </w:pPr>
      <w:r>
        <w:rPr>
          <w:rFonts w:ascii="Aptos Display" w:hAnsi="Aptos Display" w:eastAsia="Aptos Display"/>
          <w:b/>
          <w:color w:val="14213D"/>
          <w:sz w:val="60"/>
        </w:rPr>
        <w:t>Umsetzungs- und</w:t>
        <w:br/>
        <w:t>Zielkonzept 2.2</w:t>
      </w:r>
    </w:p>
    <w:p>
      <w:pPr>
        <w:pStyle w:val="Subtitle"/>
      </w:pPr>
      <w:r>
        <w:rPr>
          <w:rFonts w:ascii="Aptos" w:hAnsi="Aptos" w:eastAsia="Aptos"/>
          <w:color w:val="667085"/>
          <w:sz w:val="28"/>
        </w:rPr>
        <w:t>Vom belastbaren Haushalts-Cockpit zum verständlichen Jahresbudget</w:t>
      </w:r>
    </w:p>
    <w:p>
      <w:pPr>
        <w:spacing w:after="360"/>
      </w:pP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0788A5"/>
            <w:tcMar>
              <w:top w:w="70" w:type="dxa"/>
              <w:start w:w="100" w:type="dxa"/>
              <w:bottom w:w="70" w:type="dxa"/>
              <w:end w:w="100" w:type="dxa"/>
            </w:tcMar>
            <w:vAlign w:val="center"/>
            <w:tcBorders>
              <w:top w:val="single" w:sz="4" w:color="E9F8FA"/>
              <w:left w:val="single" w:sz="4" w:color="E9F8FA"/>
              <w:bottom w:val="single" w:sz="4" w:color="E9F8FA"/>
              <w:right w:val="single" w:sz="4" w:color="E9F8FA"/>
            </w:tcBorders>
          </w:tcPr>
          <w:p/>
        </w:tc>
        <w:tc>
          <w:tcPr>
            <w:tcW w:type="dxa" w:w="9660"/>
            <w:shd w:fill="E9F8FA"/>
            <w:tcMar>
              <w:top w:w="120" w:type="dxa"/>
              <w:start w:w="100" w:type="dxa"/>
              <w:bottom w:w="120" w:type="dxa"/>
              <w:end w:w="100" w:type="dxa"/>
            </w:tcMar>
            <w:vAlign w:val="center"/>
            <w:tcBorders>
              <w:top w:val="single" w:sz="4" w:color="E9F8FA"/>
              <w:left w:val="single" w:sz="4" w:color="E9F8FA"/>
              <w:bottom w:val="single" w:sz="4" w:color="E9F8FA"/>
              <w:right w:val="single" w:sz="4" w:color="E9F8FA"/>
            </w:tcBorders>
          </w:tcPr>
          <w:p>
            <w:pPr>
              <w:keepNext w:val="0"/>
              <w:keepLines w:val="0"/>
              <w:widowControl/>
              <w:spacing w:after="20"/>
            </w:pPr>
            <w:r>
              <w:rPr>
                <w:rFonts w:ascii="Aptos" w:hAnsi="Aptos" w:eastAsia="Aptos"/>
                <w:b/>
                <w:color w:val="0788A5"/>
                <w:sz w:val="18"/>
              </w:rPr>
              <w:t>Verbindliche Priorität</w:t>
            </w:r>
            <w:r>
              <w:rPr>
                <w:rFonts w:ascii="Aptos" w:hAnsi="Aptos" w:eastAsia="Aptos"/>
                <w:color w:val="1D2939"/>
                <w:sz w:val="18"/>
              </w:rPr>
              <w:br/>
              <w:t>Sprint 17D liefert den vollständigen Jahresbudgetassistenten und härtet die vorhandene Fixkosten-/Abo-Erkennung fachlich und in der Nutzerführung. Wiederkehrungsrhythmen bleiben vor Confirm editierbar, Einzelbeobachtungen werden nicht als monatlich ausgegeben, Warnungen erklären Beobachtung, Bedeutung und nächste Handlung.</w:t>
            </w:r>
          </w:p>
        </w:tc>
      </w:tr>
    </w:tbl>
    <w:p>
      <w:pPr>
        <w:spacing w:after="20"/>
      </w:pPr>
    </w:p>
    <w:p>
      <w:pPr>
        <w:spacing w:after="160"/>
      </w:pPr>
    </w:p>
    <w:tbl>
      <w:tblPr>
        <w:tblW w:type="dxa" w:w="9840"/>
        <w:tblLayout w:type="fixed"/>
        <w:tblLook w:firstColumn="1" w:firstRow="1" w:lastColumn="0" w:lastRow="0" w:noHBand="0" w:noVBand="1" w:val="04A0"/>
        <w:jc w:val="left"/>
        <w:tblInd w:w="100" w:type="dxa"/>
      </w:tblPr>
      <w:tblGrid>
        <w:gridCol w:w="2460"/>
        <w:gridCol w:w="2460"/>
        <w:gridCol w:w="2460"/>
        <w:gridCol w:w="2460"/>
      </w:tblGrid>
      <w:tr>
        <w:tc>
          <w:tcPr>
            <w:tcW w:type="dxa" w:w="2460"/>
            <w:shd w:fill="F6F8FB"/>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PRODUKTIONSSTAND</w:t>
            </w:r>
            <w:r>
              <w:rPr>
                <w:rFonts w:ascii="Aptos" w:hAnsi="Aptos" w:eastAsia="Aptos"/>
                <w:b/>
                <w:color w:val="14213D"/>
                <w:sz w:val="28"/>
              </w:rPr>
              <w:br/>
              <w:t>eeb1806</w:t>
            </w:r>
            <w:r>
              <w:rPr>
                <w:rFonts w:ascii="Aptos" w:hAnsi="Aptos" w:eastAsia="Aptos"/>
                <w:color w:val="667085"/>
                <w:sz w:val="15"/>
              </w:rPr>
              <w:br/>
              <w:t>Sprint 17C</w:t>
            </w:r>
          </w:p>
        </w:tc>
        <w:tc>
          <w:tcPr>
            <w:tcW w:type="dxa" w:w="2460"/>
            <w:shd w:fill="E9F8FA"/>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SCHEMA</w:t>
            </w:r>
            <w:r>
              <w:rPr>
                <w:rFonts w:ascii="Aptos" w:hAnsi="Aptos" w:eastAsia="Aptos"/>
                <w:b/>
                <w:color w:val="14213D"/>
                <w:sz w:val="28"/>
              </w:rPr>
              <w:br/>
              <w:t>48</w:t>
            </w:r>
            <w:r>
              <w:rPr>
                <w:rFonts w:ascii="Aptos" w:hAnsi="Aptos" w:eastAsia="Aptos"/>
                <w:color w:val="667085"/>
                <w:sz w:val="15"/>
              </w:rPr>
              <w:br/>
              <w:t>keine 17C-Migration</w:t>
            </w:r>
          </w:p>
        </w:tc>
        <w:tc>
          <w:tcPr>
            <w:tcW w:type="dxa" w:w="2460"/>
            <w:shd w:fill="F6F8FB"/>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BACKEND</w:t>
            </w:r>
            <w:r>
              <w:rPr>
                <w:rFonts w:ascii="Aptos" w:hAnsi="Aptos" w:eastAsia="Aptos"/>
                <w:b/>
                <w:color w:val="14213D"/>
                <w:sz w:val="28"/>
              </w:rPr>
              <w:br/>
              <w:t>878</w:t>
            </w:r>
            <w:r>
              <w:rPr>
                <w:rFonts w:ascii="Aptos" w:hAnsi="Aptos" w:eastAsia="Aptos"/>
                <w:color w:val="667085"/>
                <w:sz w:val="15"/>
              </w:rPr>
              <w:br/>
              <w:t>Tests bestanden</w:t>
            </w:r>
          </w:p>
        </w:tc>
        <w:tc>
          <w:tcPr>
            <w:tcW w:type="dxa" w:w="2460"/>
            <w:shd w:fill="E9F8FA"/>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FRONTEND</w:t>
            </w:r>
            <w:r>
              <w:rPr>
                <w:rFonts w:ascii="Aptos" w:hAnsi="Aptos" w:eastAsia="Aptos"/>
                <w:b/>
                <w:color w:val="14213D"/>
                <w:sz w:val="28"/>
              </w:rPr>
              <w:br/>
              <w:t>214</w:t>
            </w:r>
            <w:r>
              <w:rPr>
                <w:rFonts w:ascii="Aptos" w:hAnsi="Aptos" w:eastAsia="Aptos"/>
                <w:color w:val="667085"/>
                <w:sz w:val="15"/>
              </w:rPr>
              <w:br/>
              <w:t>Tests bestanden</w:t>
            </w:r>
          </w:p>
        </w:tc>
      </w:tr>
    </w:tbl>
    <w:p>
      <w:pPr>
        <w:spacing w:after="20"/>
      </w:pPr>
    </w:p>
    <w:p>
      <w:pPr>
        <w:spacing w:after="400"/>
      </w:pPr>
    </w:p>
    <w:tbl>
      <w:tblPr>
        <w:tblW w:type="dxa" w:w="9840"/>
        <w:tblLayout w:type="fixed"/>
        <w:tblLook w:firstColumn="1" w:firstRow="1" w:lastColumn="0" w:lastRow="0" w:noHBand="0" w:noVBand="1" w:val="04A0"/>
        <w:jc w:val="left"/>
        <w:tblInd w:w="100" w:type="dxa"/>
      </w:tblPr>
      <w:tblGrid>
        <w:gridCol w:w="2100"/>
        <w:gridCol w:w="7740"/>
      </w:tblGrid>
      <w:tr>
        <w:tc>
          <w:tcPr>
            <w:tcW w:type="dxa" w:w="2100"/>
            <w:tcMar>
              <w:top w:w="80" w:type="dxa"/>
              <w:start w:w="100" w:type="dxa"/>
              <w:bottom w:w="80" w:type="dxa"/>
              <w:end w:w="100" w:type="dxa"/>
            </w:tcMar>
            <w:tcBorders>
              <w:bottom w:val="single" w:sz="3" w:color="D9E2EC"/>
            </w:tcBorders>
          </w:tcPr>
          <w:p>
            <w:pPr>
              <w:spacing w:after="0"/>
            </w:pPr>
            <w:r>
              <w:rPr>
                <w:rFonts w:ascii="Aptos" w:hAnsi="Aptos" w:eastAsia="Aptos"/>
                <w:b/>
                <w:color w:val="667085"/>
                <w:sz w:val="15"/>
              </w:rPr>
              <w:t>DATUM</w:t>
            </w:r>
          </w:p>
        </w:tc>
        <w:tc>
          <w:tcPr>
            <w:tcW w:type="dxa" w:w="7740"/>
            <w:tcMar>
              <w:top w:w="80" w:type="dxa"/>
              <w:start w:w="100" w:type="dxa"/>
              <w:bottom w:w="80" w:type="dxa"/>
              <w:end w:w="100" w:type="dxa"/>
            </w:tcMar>
            <w:tcBorders>
              <w:bottom w:val="single" w:sz="3" w:color="D9E2EC"/>
            </w:tcBorders>
          </w:tcPr>
          <w:p>
            <w:pPr>
              <w:spacing w:after="0"/>
            </w:pPr>
            <w:r>
              <w:rPr>
                <w:rFonts w:ascii="Aptos" w:hAnsi="Aptos" w:eastAsia="Aptos"/>
                <w:color w:val="1D2939"/>
                <w:sz w:val="17"/>
              </w:rPr>
              <w:t>1. August 2026</w:t>
            </w:r>
          </w:p>
        </w:tc>
      </w:tr>
      <w:tr>
        <w:tc>
          <w:tcPr>
            <w:tcW w:type="dxa" w:w="2100"/>
            <w:tcMar>
              <w:top w:w="80" w:type="dxa"/>
              <w:start w:w="100" w:type="dxa"/>
              <w:bottom w:w="80" w:type="dxa"/>
              <w:end w:w="100" w:type="dxa"/>
            </w:tcMar>
            <w:tcBorders>
              <w:bottom w:val="single" w:sz="3" w:color="D9E2EC"/>
            </w:tcBorders>
          </w:tcPr>
          <w:p>
            <w:pPr>
              <w:spacing w:after="0"/>
            </w:pPr>
            <w:r>
              <w:rPr>
                <w:rFonts w:ascii="Aptos" w:hAnsi="Aptos" w:eastAsia="Aptos"/>
                <w:b/>
                <w:color w:val="667085"/>
                <w:sz w:val="15"/>
              </w:rPr>
              <w:t>AUSGANGSDOKUMENT</w:t>
            </w:r>
          </w:p>
        </w:tc>
        <w:tc>
          <w:tcPr>
            <w:tcW w:type="dxa" w:w="7740"/>
            <w:tcMar>
              <w:top w:w="80" w:type="dxa"/>
              <w:start w:w="100" w:type="dxa"/>
              <w:bottom w:w="80" w:type="dxa"/>
              <w:end w:w="100" w:type="dxa"/>
            </w:tcMar>
            <w:tcBorders>
              <w:bottom w:val="single" w:sz="3" w:color="D9E2EC"/>
            </w:tcBorders>
          </w:tcPr>
          <w:p>
            <w:pPr>
              <w:spacing w:after="0"/>
            </w:pPr>
            <w:r>
              <w:rPr>
                <w:rFonts w:ascii="Aptos" w:hAnsi="Aptos" w:eastAsia="Aptos"/>
                <w:color w:val="1D2939"/>
                <w:sz w:val="17"/>
              </w:rPr>
              <w:t>Umsetzungs- und Zielkonzept 2.1 vom 29. Juli 2026</w:t>
            </w:r>
          </w:p>
        </w:tc>
      </w:tr>
      <w:tr>
        <w:tc>
          <w:tcPr>
            <w:tcW w:type="dxa" w:w="2100"/>
            <w:tcMar>
              <w:top w:w="80" w:type="dxa"/>
              <w:start w:w="100" w:type="dxa"/>
              <w:bottom w:w="80" w:type="dxa"/>
              <w:end w:w="100" w:type="dxa"/>
            </w:tcMar>
            <w:tcBorders>
              <w:bottom w:val="single" w:sz="3" w:color="D9E2EC"/>
            </w:tcBorders>
          </w:tcPr>
          <w:p>
            <w:pPr>
              <w:spacing w:after="0"/>
            </w:pPr>
            <w:r>
              <w:rPr>
                <w:rFonts w:ascii="Aptos" w:hAnsi="Aptos" w:eastAsia="Aptos"/>
                <w:b/>
                <w:color w:val="667085"/>
                <w:sz w:val="15"/>
              </w:rPr>
              <w:t>REPOSITORY</w:t>
            </w:r>
          </w:p>
        </w:tc>
        <w:tc>
          <w:tcPr>
            <w:tcW w:type="dxa" w:w="7740"/>
            <w:tcMar>
              <w:top w:w="80" w:type="dxa"/>
              <w:start w:w="100" w:type="dxa"/>
              <w:bottom w:w="80" w:type="dxa"/>
              <w:end w:w="100" w:type="dxa"/>
            </w:tcMar>
            <w:tcBorders>
              <w:bottom w:val="single" w:sz="3" w:color="D9E2EC"/>
            </w:tcBorders>
          </w:tcPr>
          <w:p>
            <w:pPr>
              <w:spacing w:after="0"/>
            </w:pPr>
            <w:r>
              <w:rPr>
                <w:rFonts w:ascii="Aptos" w:hAnsi="Aptos" w:eastAsia="Aptos"/>
                <w:color w:val="1D2939"/>
                <w:sz w:val="17"/>
              </w:rPr>
              <w:t>Gamexgit/FinanceManager · main · produktiv eeb1806e…</w:t>
            </w:r>
          </w:p>
        </w:tc>
      </w:tr>
      <w:tr>
        <w:tc>
          <w:tcPr>
            <w:tcW w:type="dxa" w:w="2100"/>
            <w:tcMar>
              <w:top w:w="80" w:type="dxa"/>
              <w:start w:w="100" w:type="dxa"/>
              <w:bottom w:w="80" w:type="dxa"/>
              <w:end w:w="100" w:type="dxa"/>
            </w:tcMar>
            <w:tcBorders>
              <w:bottom w:val="single" w:sz="3" w:color="D9E2EC"/>
            </w:tcBorders>
          </w:tcPr>
          <w:p>
            <w:pPr>
              <w:spacing w:after="0"/>
            </w:pPr>
            <w:r>
              <w:rPr>
                <w:rFonts w:ascii="Aptos" w:hAnsi="Aptos" w:eastAsia="Aptos"/>
                <w:b/>
                <w:color w:val="667085"/>
                <w:sz w:val="15"/>
              </w:rPr>
              <w:t>STATUS</w:t>
            </w:r>
          </w:p>
        </w:tc>
        <w:tc>
          <w:tcPr>
            <w:tcW w:type="dxa" w:w="7740"/>
            <w:tcMar>
              <w:top w:w="80" w:type="dxa"/>
              <w:start w:w="100" w:type="dxa"/>
              <w:bottom w:w="80" w:type="dxa"/>
              <w:end w:w="100" w:type="dxa"/>
            </w:tcMar>
            <w:tcBorders>
              <w:bottom w:val="single" w:sz="3" w:color="D9E2EC"/>
            </w:tcBorders>
          </w:tcPr>
          <w:p>
            <w:pPr>
              <w:spacing w:after="0"/>
            </w:pPr>
            <w:r>
              <w:rPr>
                <w:rFonts w:ascii="Aptos" w:hAnsi="Aptos" w:eastAsia="Aptos"/>
                <w:color w:val="1D2939"/>
                <w:sz w:val="17"/>
              </w:rPr>
              <w:t>Verbindliche Fortschreibung für Sprint 17D und die Roadmap 17E–20</w:t>
            </w:r>
          </w:p>
        </w:tc>
      </w:tr>
    </w:tbl>
    <w:p>
      <w:r>
        <w:br w:type="page"/>
      </w:r>
    </w:p>
    <w:p>
      <w:pPr>
        <w:pStyle w:val="Heading1"/>
      </w:pPr>
      <w:r>
        <w:t>1. Managemententscheidung</w:t>
      </w: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168A5B"/>
            <w:tcMar>
              <w:top w:w="70" w:type="dxa"/>
              <w:start w:w="100" w:type="dxa"/>
              <w:bottom w:w="70" w:type="dxa"/>
              <w:end w:w="100" w:type="dxa"/>
            </w:tcMar>
            <w:vAlign w:val="center"/>
            <w:tcBorders>
              <w:top w:val="single" w:sz="4" w:color="EAF7F1"/>
              <w:left w:val="single" w:sz="4" w:color="EAF7F1"/>
              <w:bottom w:val="single" w:sz="4" w:color="EAF7F1"/>
              <w:right w:val="single" w:sz="4" w:color="EAF7F1"/>
            </w:tcBorders>
          </w:tcPr>
          <w:p/>
        </w:tc>
        <w:tc>
          <w:tcPr>
            <w:tcW w:type="dxa" w:w="9660"/>
            <w:shd w:fill="EAF7F1"/>
            <w:tcMar>
              <w:top w:w="120" w:type="dxa"/>
              <w:start w:w="100" w:type="dxa"/>
              <w:bottom w:w="120" w:type="dxa"/>
              <w:end w:w="100" w:type="dxa"/>
            </w:tcMar>
            <w:vAlign w:val="center"/>
            <w:tcBorders>
              <w:top w:val="single" w:sz="4" w:color="EAF7F1"/>
              <w:left w:val="single" w:sz="4" w:color="EAF7F1"/>
              <w:bottom w:val="single" w:sz="4" w:color="EAF7F1"/>
              <w:right w:val="single" w:sz="4" w:color="EAF7F1"/>
            </w:tcBorders>
          </w:tcPr>
          <w:p>
            <w:pPr>
              <w:keepNext w:val="0"/>
              <w:keepLines w:val="0"/>
              <w:widowControl/>
              <w:spacing w:after="20"/>
            </w:pPr>
            <w:r>
              <w:rPr>
                <w:rFonts w:ascii="Aptos" w:hAnsi="Aptos" w:eastAsia="Aptos"/>
                <w:b/>
                <w:color w:val="168A5B"/>
                <w:sz w:val="18"/>
              </w:rPr>
              <w:t>Sprint 17C ist abgeschlossen - die nächste Lücke ist die Jahresplanung.</w:t>
            </w:r>
            <w:r>
              <w:rPr>
                <w:rFonts w:ascii="Aptos" w:hAnsi="Aptos" w:eastAsia="Aptos"/>
                <w:color w:val="1D2939"/>
                <w:sz w:val="18"/>
              </w:rPr>
              <w:br/>
              <w:t>Das Haushalts-Cockpit, die konsolidierte Navigation und Today-Lite sind produktiv. Der nächste Sprint baut keine zweite Budgetwelt, sondern führt vorhandene Planung, Fixkosten, Abos, Forecast und Budgetstatus in einen verständlichen Jahresablauf zusammen.</w:t>
            </w:r>
          </w:p>
        </w:tc>
      </w:tr>
    </w:tbl>
    <w:p>
      <w:pPr>
        <w:spacing w:after="20"/>
      </w:pPr>
    </w:p>
    <w:p>
      <w:pPr>
        <w:keepNext w:val="0"/>
        <w:keepLines w:val="0"/>
        <w:widowControl/>
      </w:pPr>
      <w:r>
        <w:rPr>
          <w:rFonts w:ascii="Aptos" w:hAnsi="Aptos" w:eastAsia="Aptos"/>
          <w:color w:val="1D2939"/>
        </w:rPr>
        <w:t>FinanceManager soll nicht nur zeigen, was bereits ausgegeben wurde. Er soll beantworten, welche Einnahmen und Kosten im laufenden Jahr noch erwartet werden, wie viel Ende Jahr voraussichtlich übrig bleibt und welcher Betrag realistisch frei beziehungsweise investierbar ist. Jede Aussage bleibt auf echte Buchungen, bestätigte Planpositionen und offengelegte Annahmen zurückführbar.</w:t>
      </w:r>
    </w:p>
    <w:p>
      <w:pPr>
        <w:pStyle w:val="ListBullet"/>
        <w:keepNext w:val="0"/>
        <w:keepLines w:val="0"/>
        <w:widowControl/>
      </w:pPr>
      <w:r>
        <w:rPr>
          <w:rFonts w:ascii="Aptos" w:hAnsi="Aptos" w:eastAsia="Aptos"/>
          <w:color w:val="1D2939"/>
        </w:rPr>
        <w:t>Ein einziger vertikaler Sprint 17D bis Definition of Done; keine kleinteiligen Sub-Sprints.</w:t>
      </w:r>
    </w:p>
    <w:p>
      <w:pPr>
        <w:pStyle w:val="ListBullet"/>
        <w:keepNext w:val="0"/>
        <w:keepLines w:val="0"/>
        <w:widowControl/>
      </w:pPr>
      <w:r>
        <w:rPr>
          <w:rFonts w:ascii="Aptos" w:hAnsi="Aptos" w:eastAsia="Aptos"/>
          <w:color w:val="1D2939"/>
        </w:rPr>
        <w:t>Vorhandene Budget-, Forecast-, Recurring- und Chart.js-Bausteine konsolidieren; keine zweite Engine und keine zweite Budgetseite.</w:t>
      </w:r>
    </w:p>
    <w:p>
      <w:pPr>
        <w:pStyle w:val="ListBullet"/>
        <w:keepNext w:val="0"/>
        <w:keepLines w:val="0"/>
        <w:widowControl/>
      </w:pPr>
      <w:r>
        <w:rPr>
          <w:rFonts w:ascii="Aptos" w:hAnsi="Aptos" w:eastAsia="Aptos"/>
          <w:color w:val="1D2939"/>
        </w:rPr>
        <w:t>Budget, Ist und Forecast sind getrennte Aussagen und werden nicht als austauschbare Zahlen behandelt.</w:t>
      </w:r>
    </w:p>
    <w:p>
      <w:pPr>
        <w:pStyle w:val="ListBullet"/>
        <w:keepNext w:val="0"/>
        <w:keepLines w:val="0"/>
        <w:widowControl/>
      </w:pPr>
      <w:r>
        <w:rPr>
          <w:rFonts w:ascii="Aptos" w:hAnsi="Aptos" w:eastAsia="Aptos"/>
          <w:color w:val="1D2939"/>
        </w:rPr>
        <w:t>Technische Confidence-Werte und interne Statuscodes bleiben im Detail; der Standardmodus spricht Alltagssprache.</w:t>
      </w:r>
    </w:p>
    <w:p>
      <w:pPr>
        <w:pStyle w:val="ListBullet"/>
        <w:keepNext w:val="0"/>
        <w:keepLines w:val="0"/>
        <w:widowControl/>
      </w:pPr>
      <w:r>
        <w:rPr>
          <w:rFonts w:ascii="Aptos" w:hAnsi="Aptos" w:eastAsia="Aptos"/>
          <w:color w:val="1D2939"/>
        </w:rPr>
        <w:t>Produktive Planwerte oder Kandidaten entstehen weiterhin nur über Preview -&gt; Confirm -&gt; Audit.</w:t>
      </w:r>
    </w:p>
    <w:p>
      <w:pPr>
        <w:pStyle w:val="Heading1"/>
      </w:pPr>
      <w:r>
        <w:t>2. Verifizierter Produktionsstand nach Sprint 17C</w:t>
      </w:r>
    </w:p>
    <w:tbl>
      <w:tblPr>
        <w:tblW w:type="dxa" w:w="9840"/>
        <w:tblLayout w:type="fixed"/>
        <w:tblLook w:firstColumn="1" w:firstRow="1" w:lastColumn="0" w:lastRow="0" w:noHBand="0" w:noVBand="1" w:val="04A0"/>
        <w:jc w:val="left"/>
        <w:tblInd w:w="100" w:type="dxa"/>
      </w:tblPr>
      <w:tblGrid>
        <w:gridCol w:w="2460"/>
        <w:gridCol w:w="2460"/>
        <w:gridCol w:w="2460"/>
        <w:gridCol w:w="2460"/>
      </w:tblGrid>
      <w:tr>
        <w:tc>
          <w:tcPr>
            <w:tcW w:type="dxa" w:w="2460"/>
            <w:shd w:fill="F6F8FB"/>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PR</w:t>
            </w:r>
            <w:r>
              <w:rPr>
                <w:rFonts w:ascii="Aptos" w:hAnsi="Aptos" w:eastAsia="Aptos"/>
                <w:b/>
                <w:color w:val="14213D"/>
                <w:sz w:val="28"/>
              </w:rPr>
              <w:br/>
              <w:t>#29</w:t>
            </w:r>
            <w:r>
              <w:rPr>
                <w:rFonts w:ascii="Aptos" w:hAnsi="Aptos" w:eastAsia="Aptos"/>
                <w:color w:val="667085"/>
                <w:sz w:val="15"/>
              </w:rPr>
              <w:br/>
              <w:t>normal gemergt</w:t>
            </w:r>
          </w:p>
        </w:tc>
        <w:tc>
          <w:tcPr>
            <w:tcW w:type="dxa" w:w="2460"/>
            <w:shd w:fill="E9F8FA"/>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MERGE/DEPLOY</w:t>
            </w:r>
            <w:r>
              <w:rPr>
                <w:rFonts w:ascii="Aptos" w:hAnsi="Aptos" w:eastAsia="Aptos"/>
                <w:b/>
                <w:color w:val="14213D"/>
                <w:sz w:val="28"/>
              </w:rPr>
              <w:br/>
              <w:t>eeb1806</w:t>
            </w:r>
            <w:r>
              <w:rPr>
                <w:rFonts w:ascii="Aptos" w:hAnsi="Aptos" w:eastAsia="Aptos"/>
                <w:color w:val="667085"/>
                <w:sz w:val="15"/>
              </w:rPr>
              <w:br/>
              <w:t>exakter SHA</w:t>
            </w:r>
          </w:p>
        </w:tc>
        <w:tc>
          <w:tcPr>
            <w:tcW w:type="dxa" w:w="2460"/>
            <w:shd w:fill="F6F8FB"/>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FINDINGS</w:t>
            </w:r>
            <w:r>
              <w:rPr>
                <w:rFonts w:ascii="Aptos" w:hAnsi="Aptos" w:eastAsia="Aptos"/>
                <w:b/>
                <w:color w:val="14213D"/>
                <w:sz w:val="28"/>
              </w:rPr>
              <w:br/>
              <w:t>0 / 0 / 0</w:t>
            </w:r>
            <w:r>
              <w:rPr>
                <w:rFonts w:ascii="Aptos" w:hAnsi="Aptos" w:eastAsia="Aptos"/>
                <w:color w:val="667085"/>
                <w:sz w:val="15"/>
              </w:rPr>
              <w:br/>
              <w:t>P0 / P1 / P2</w:t>
            </w:r>
          </w:p>
        </w:tc>
        <w:tc>
          <w:tcPr>
            <w:tcW w:type="dxa" w:w="2460"/>
            <w:shd w:fill="E9F8FA"/>
            <w:tcMar>
              <w:top w:w="125" w:type="dxa"/>
              <w:start w:w="100" w:type="dxa"/>
              <w:bottom w:w="120" w:type="dxa"/>
              <w:end w:w="100" w:type="dxa"/>
            </w:tcMar>
            <w:tcBorders>
              <w:top w:val="single" w:sz="3" w:color="D9E2EC"/>
              <w:left w:val="single" w:sz="3" w:color="D9E2EC"/>
              <w:bottom w:val="single" w:sz="3" w:color="D9E2EC"/>
              <w:right w:val="single" w:sz="3" w:color="D9E2EC"/>
            </w:tcBorders>
          </w:tcPr>
          <w:p>
            <w:pPr>
              <w:spacing w:after="20"/>
            </w:pPr>
            <w:r>
              <w:rPr>
                <w:rFonts w:ascii="Aptos" w:hAnsi="Aptos" w:eastAsia="Aptos"/>
                <w:b/>
                <w:color w:val="667085"/>
                <w:sz w:val="14"/>
              </w:rPr>
              <w:t>SERVICES</w:t>
            </w:r>
            <w:r>
              <w:rPr>
                <w:rFonts w:ascii="Aptos" w:hAnsi="Aptos" w:eastAsia="Aptos"/>
                <w:b/>
                <w:color w:val="14213D"/>
                <w:sz w:val="28"/>
              </w:rPr>
              <w:br/>
              <w:t>aktiv</w:t>
            </w:r>
            <w:r>
              <w:rPr>
                <w:rFonts w:ascii="Aptos" w:hAnsi="Aptos" w:eastAsia="Aptos"/>
                <w:color w:val="667085"/>
                <w:sz w:val="15"/>
              </w:rPr>
              <w:br/>
              <w:t>Health ok · read-only</w:t>
            </w:r>
          </w:p>
        </w:tc>
      </w:tr>
    </w:tbl>
    <w:p>
      <w:pPr>
        <w:spacing w:after="20"/>
      </w:pPr>
    </w:p>
    <w:tbl>
      <w:tblPr>
        <w:tblW w:type="dxa" w:w="9840"/>
        <w:tblLayout w:type="fixed"/>
        <w:tblLook w:firstColumn="1" w:firstRow="1" w:lastColumn="0" w:lastRow="0" w:noHBand="0" w:noVBand="1" w:val="04A0"/>
        <w:jc w:val="left"/>
        <w:tblInd w:w="100" w:type="dxa"/>
      </w:tblPr>
      <w:tblGrid>
        <w:gridCol w:w="1700"/>
        <w:gridCol w:w="4270"/>
        <w:gridCol w:w="3870"/>
      </w:tblGrid>
      <w:tr>
        <w:trPr>
          <w:trHeight w:hRule="atLeast"/>
          <w:tblHeader w:val="true"/>
        </w:trPr>
        <w:tc>
          <w:tcPr>
            <w:tcW w:type="dxa" w:w="17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Bereich</w:t>
            </w:r>
          </w:p>
        </w:tc>
        <w:tc>
          <w:tcPr>
            <w:tcW w:type="dxa" w:w="427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Produktiver Stand</w:t>
            </w:r>
          </w:p>
        </w:tc>
        <w:tc>
          <w:tcPr>
            <w:tcW w:type="dxa" w:w="387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Konsequenz</w:t>
            </w:r>
          </w:p>
        </w:tc>
      </w:tr>
      <w:tr>
        <w:trPr>
          <w:cantSplit/>
        </w:trPr>
        <w:tc>
          <w:tcPr>
            <w:tcW w:type="dxa" w:w="17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Haushalt</w:t>
            </w:r>
          </w:p>
        </w:tc>
        <w:tc>
          <w:tcPr>
            <w:tcW w:type="dxa" w:w="427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Konsolidierte Navigation mit Übersicht, Transaktionen, Prüfen, Budget &amp; Planung, Fixkosten &amp; Abos und Verwalten.</w:t>
            </w:r>
          </w:p>
        </w:tc>
        <w:tc>
          <w:tcPr>
            <w:tcW w:type="dxa" w:w="387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Kein weiterer Navigationsumbau in 17D; bestehende Routen wiederverwenden.</w:t>
            </w:r>
          </w:p>
        </w:tc>
      </w:tr>
      <w:tr>
        <w:trPr>
          <w:cantSplit/>
        </w:trPr>
        <w:tc>
          <w:tcPr>
            <w:tcW w:type="dxa" w:w="17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Heute</w:t>
            </w:r>
          </w:p>
        </w:tc>
        <w:tc>
          <w:tcPr>
            <w:tcW w:type="dxa" w:w="427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Vier Bereiche und höchstens fünf priorisierte Aufgaben; Monatsabschluss und Systemstatus eingeklappt.</w:t>
            </w:r>
          </w:p>
        </w:tc>
        <w:tc>
          <w:tcPr>
            <w:tcW w:type="dxa" w:w="387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Nur budgetbezogene Links/Bezeichnungen anpassen; vollständiges Redesign bleibt Sprint 20.</w:t>
            </w:r>
          </w:p>
        </w:tc>
      </w:tr>
      <w:tr>
        <w:trPr>
          <w:cantSplit/>
        </w:trPr>
        <w:tc>
          <w:tcPr>
            <w:tcW w:type="dxa" w:w="17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Datenwahrheit</w:t>
            </w:r>
          </w:p>
        </w:tc>
        <w:tc>
          <w:tcPr>
            <w:tcW w:type="dxa" w:w="427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Exakte Dubletten-Previews für Apple und Netflix; kein Delete, Confirm bleibt nutzergeführt.</w:t>
            </w:r>
          </w:p>
        </w:tc>
        <w:tc>
          <w:tcPr>
            <w:tcW w:type="dxa" w:w="387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Offene Dubletten dürfen den Forecast nicht still verfälschen; Datenstatus sichtbar machen.</w:t>
            </w:r>
          </w:p>
        </w:tc>
      </w:tr>
      <w:tr>
        <w:trPr>
          <w:cantSplit/>
        </w:trPr>
        <w:tc>
          <w:tcPr>
            <w:tcW w:type="dxa" w:w="17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Kreditkarte</w:t>
            </w:r>
          </w:p>
        </w:tc>
        <w:tc>
          <w:tcPr>
            <w:tcW w:type="dxa" w:w="427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VISECA-Ausgleich ist neutral; CHF 1’110.20 Restdifferenz bleibt unaufgelöst.</w:t>
            </w:r>
          </w:p>
        </w:tc>
        <w:tc>
          <w:tcPr>
            <w:tcW w:type="dxa" w:w="387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Keine zusätzliche Ausgabe; unvollständige Abrechnungsbasis ehrlich kennzeichnen.</w:t>
            </w:r>
          </w:p>
        </w:tc>
      </w:tr>
      <w:tr>
        <w:trPr>
          <w:cantSplit/>
        </w:trPr>
        <w:tc>
          <w:tcPr>
            <w:tcW w:type="dxa" w:w="17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Budget</w:t>
            </w:r>
          </w:p>
        </w:tc>
        <w:tc>
          <w:tcPr>
            <w:tcW w:type="dxa" w:w="427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Planung Version 1; Excel-Übernahme nicht produktiv; vollständiger Assistent angekündigt.</w:t>
            </w:r>
          </w:p>
        </w:tc>
        <w:tc>
          <w:tcPr>
            <w:tcW w:type="dxa" w:w="387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Sprint 17D ersetzt den Platzhalter durch einen durchgängigen Jahresplanungsablauf.</w:t>
            </w:r>
          </w:p>
        </w:tc>
      </w:tr>
    </w:tbl>
    <w:p>
      <w:pPr>
        <w:spacing w:after="20"/>
      </w:pP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0788A5"/>
            <w:tcMar>
              <w:top w:w="70" w:type="dxa"/>
              <w:start w:w="100" w:type="dxa"/>
              <w:bottom w:w="70" w:type="dxa"/>
              <w:end w:w="100" w:type="dxa"/>
            </w:tcMar>
            <w:vAlign w:val="center"/>
            <w:tcBorders>
              <w:top w:val="single" w:sz="4" w:color="E9F8FA"/>
              <w:left w:val="single" w:sz="4" w:color="E9F8FA"/>
              <w:bottom w:val="single" w:sz="4" w:color="E9F8FA"/>
              <w:right w:val="single" w:sz="4" w:color="E9F8FA"/>
            </w:tcBorders>
          </w:tcPr>
          <w:p/>
        </w:tc>
        <w:tc>
          <w:tcPr>
            <w:tcW w:type="dxa" w:w="9660"/>
            <w:shd w:fill="E9F8FA"/>
            <w:tcMar>
              <w:top w:w="120" w:type="dxa"/>
              <w:start w:w="100" w:type="dxa"/>
              <w:bottom w:w="120" w:type="dxa"/>
              <w:end w:w="100" w:type="dxa"/>
            </w:tcMar>
            <w:vAlign w:val="center"/>
            <w:tcBorders>
              <w:top w:val="single" w:sz="4" w:color="E9F8FA"/>
              <w:left w:val="single" w:sz="4" w:color="E9F8FA"/>
              <w:bottom w:val="single" w:sz="4" w:color="E9F8FA"/>
              <w:right w:val="single" w:sz="4" w:color="E9F8FA"/>
            </w:tcBorders>
          </w:tcPr>
          <w:p>
            <w:pPr>
              <w:keepNext w:val="0"/>
              <w:keepLines w:val="0"/>
              <w:widowControl/>
              <w:spacing w:after="20"/>
            </w:pPr>
            <w:r>
              <w:rPr>
                <w:rFonts w:ascii="Aptos" w:hAnsi="Aptos" w:eastAsia="Aptos"/>
                <w:b/>
                <w:color w:val="0788A5"/>
                <w:sz w:val="18"/>
              </w:rPr>
              <w:t>Release-Baseline</w:t>
            </w:r>
            <w:r>
              <w:rPr>
                <w:rFonts w:ascii="Aptos" w:hAnsi="Aptos" w:eastAsia="Aptos"/>
                <w:color w:val="1D2939"/>
                <w:sz w:val="18"/>
              </w:rPr>
              <w:br/>
              <w:t>PR #29 wurde am 1. August 2026 mit grünem Head 5512bcbb… gemergt. Produktiver Worktree und Deployment stehen exakt auf eeb1806e…; Schema 48; 878 Backend- und 214 Frontendtests bestanden.</w:t>
            </w:r>
          </w:p>
        </w:tc>
      </w:tr>
    </w:tbl>
    <w:p>
      <w:pPr>
        <w:spacing w:after="20"/>
      </w:pPr>
    </w:p>
    <w:p>
      <w:pPr>
        <w:pStyle w:val="Heading1"/>
      </w:pPr>
      <w:r>
        <w:t>3. Fortschritt gegenüber Konzept 2.1</w:t>
      </w:r>
    </w:p>
    <w:tbl>
      <w:tblPr>
        <w:tblW w:type="dxa" w:w="9840"/>
        <w:tblLayout w:type="fixed"/>
        <w:tblLook w:firstColumn="1" w:firstRow="1" w:lastColumn="0" w:lastRow="0" w:noHBand="0" w:noVBand="1" w:val="04A0"/>
        <w:jc w:val="left"/>
        <w:tblInd w:w="100" w:type="dxa"/>
      </w:tblPr>
      <w:tblGrid>
        <w:gridCol w:w="2450"/>
        <w:gridCol w:w="3650"/>
        <w:gridCol w:w="3740"/>
      </w:tblGrid>
      <w:tr>
        <w:trPr>
          <w:trHeight w:hRule="atLeast"/>
          <w:tblHeader w:val="true"/>
        </w:trPr>
        <w:tc>
          <w:tcPr>
            <w:tcW w:type="dxa" w:w="24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Ziel aus 2.1</w:t>
            </w:r>
          </w:p>
        </w:tc>
        <w:tc>
          <w:tcPr>
            <w:tcW w:type="dxa" w:w="36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Stand</w:t>
            </w:r>
          </w:p>
        </w:tc>
        <w:tc>
          <w:tcPr>
            <w:tcW w:type="dxa" w:w="374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Weiteres Vorgehen</w:t>
            </w:r>
          </w:p>
        </w:tc>
      </w:tr>
      <w:tr>
        <w:trPr>
          <w:cantSplit/>
        </w:trPr>
        <w:tc>
          <w:tcPr>
            <w:tcW w:type="dxa" w:w="24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Kanonische Haushaltswahrheit</w:t>
            </w:r>
          </w:p>
        </w:tc>
        <w:tc>
          <w:tcPr>
            <w:tcW w:type="dxa" w:w="36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Erfüllt: stabile Konten-/Filterverträge, Reconciliation pass, maximale Differenz CHF 0.00.</w:t>
            </w:r>
          </w:p>
        </w:tc>
        <w:tc>
          <w:tcPr>
            <w:tcW w:type="dxa" w:w="37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Als unveränderliche Basis für Plan und Forecast verwenden.</w:t>
            </w:r>
          </w:p>
        </w:tc>
      </w:tr>
      <w:tr>
        <w:trPr>
          <w:cantSplit/>
        </w:trPr>
        <w:tc>
          <w:tcPr>
            <w:tcW w:type="dxa" w:w="24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Visuelles Haushalts-Cockpit</w:t>
            </w:r>
          </w:p>
        </w:tc>
        <w:tc>
          <w:tcPr>
            <w:tcW w:type="dxa" w:w="36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Erfüllt: KPIs, Trends, Kategorien, Drill-downs und responsive Browsermatrix.</w:t>
            </w:r>
          </w:p>
        </w:tc>
        <w:tc>
          <w:tcPr>
            <w:tcW w:type="dxa" w:w="37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Nicht erneut bauen; Budgetmodule in denselben Interaktionsstil bringen.</w:t>
            </w:r>
          </w:p>
        </w:tc>
      </w:tr>
      <w:tr>
        <w:trPr>
          <w:cantSplit/>
        </w:trPr>
        <w:tc>
          <w:tcPr>
            <w:tcW w:type="dxa" w:w="24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Konsolidierte Navigation</w:t>
            </w:r>
          </w:p>
        </w:tc>
        <w:tc>
          <w:tcPr>
            <w:tcW w:type="dxa" w:w="36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Erfüllt in 17C; Legacy-Redirects erhalten.</w:t>
            </w:r>
          </w:p>
        </w:tc>
        <w:tc>
          <w:tcPr>
            <w:tcW w:type="dxa" w:w="37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Nur klare Zielseiten und direkte Handlungslinks ergänzen.</w:t>
            </w:r>
          </w:p>
        </w:tc>
      </w:tr>
      <w:tr>
        <w:trPr>
          <w:cantSplit/>
        </w:trPr>
        <w:tc>
          <w:tcPr>
            <w:tcW w:type="dxa" w:w="24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Today-Lite</w:t>
            </w:r>
          </w:p>
        </w:tc>
        <w:tc>
          <w:tcPr>
            <w:tcW w:type="dxa" w:w="36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Erfüllt: vier ruhige Bereiche, maximal fünf nächste Schritte.</w:t>
            </w:r>
          </w:p>
        </w:tc>
        <w:tc>
          <w:tcPr>
            <w:tcW w:type="dxa" w:w="37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Warnungen aus Fixkosten/Abos nicht ungefiltert auf Heute spiegeln.</w:t>
            </w:r>
          </w:p>
        </w:tc>
      </w:tr>
      <w:tr>
        <w:trPr>
          <w:cantSplit/>
        </w:trPr>
        <w:tc>
          <w:tcPr>
            <w:tcW w:type="dxa" w:w="24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Budget, Fixkosten, Abos</w:t>
            </w:r>
          </w:p>
        </w:tc>
        <w:tc>
          <w:tcPr>
            <w:tcW w:type="dxa" w:w="36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Teilweise vorhanden, aber fachlich und sprachlich noch nicht belastbar.</w:t>
            </w:r>
          </w:p>
        </w:tc>
        <w:tc>
          <w:tcPr>
            <w:tcW w:type="dxa" w:w="37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Jetzt als Sprint 17D vertikal abschliessen.</w:t>
            </w:r>
          </w:p>
        </w:tc>
      </w:tr>
    </w:tbl>
    <w:p>
      <w:pPr>
        <w:spacing w:after="20"/>
      </w:pPr>
    </w:p>
    <w:p>
      <w:pPr>
        <w:pStyle w:val="Heading1"/>
      </w:pPr>
      <w:r>
        <w:t>4. Neue Produktbeobachtungen vom 1. August</w:t>
      </w:r>
    </w:p>
    <w:tbl>
      <w:tblPr>
        <w:tblW w:type="dxa" w:w="9840"/>
        <w:tblLayout w:type="fixed"/>
        <w:tblLook w:firstColumn="1" w:firstRow="1" w:lastColumn="0" w:lastRow="0" w:noHBand="0" w:noVBand="1" w:val="04A0"/>
        <w:jc w:val="left"/>
        <w:tblInd w:w="100" w:type="dxa"/>
      </w:tblPr>
      <w:tblGrid>
        <w:gridCol w:w="2300"/>
        <w:gridCol w:w="3350"/>
        <w:gridCol w:w="4190"/>
      </w:tblGrid>
      <w:tr>
        <w:trPr>
          <w:trHeight w:hRule="atLeast"/>
          <w:tblHeader w:val="true"/>
        </w:trPr>
        <w:tc>
          <w:tcPr>
            <w:tcW w:type="dxa" w:w="23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Beobachtung</w:t>
            </w:r>
          </w:p>
        </w:tc>
        <w:tc>
          <w:tcPr>
            <w:tcW w:type="dxa" w:w="33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Risiko für den Nutzer</w:t>
            </w:r>
          </w:p>
        </w:tc>
        <w:tc>
          <w:tcPr>
            <w:tcW w:type="dxa" w:w="419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Verbindliche Korrektur</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Apple wird als wöchentliches Abo mit CHF 20.79 vorgeschlagen.</w:t>
            </w:r>
          </w:p>
        </w:tc>
        <w:tc>
          <w:tcPr>
            <w:tcW w:type="dxa" w:w="33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Rhythmus ist nicht editierbar; ein falscher Vorschlag würde nächste Fälligkeit und Forecast verfälschen.</w:t>
            </w:r>
          </w:p>
        </w:tc>
        <w:tc>
          <w:tcPr>
            <w:tcW w:type="dxa" w:w="41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Rhythmus und Fälligkeit vor Confirm editierbar machen; berechnete Jahreswirkung live aktualisieren.</w:t>
            </w:r>
          </w:p>
        </w:tc>
      </w:tr>
      <w:tr>
        <w:trPr>
          <w:cantSplit/>
        </w:trPr>
        <w:tc>
          <w:tcPr>
            <w:tcW w:type="dxa" w:w="23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Autobahnvignette 2026 wird nach einer einzigen Buchung als monatliches Abo erkannt.</w:t>
            </w:r>
          </w:p>
        </w:tc>
        <w:tc>
          <w:tcPr>
            <w:tcW w:type="dxa" w:w="33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Einmalige oder jährliche Kosten werden zwölfmal budgetiert und erzeugen falsche Warnungen.</w:t>
            </w:r>
          </w:p>
        </w:tc>
        <w:tc>
          <w:tcPr>
            <w:tcW w:type="dxa" w:w="41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Eine Einzelbeobachtung darf keine monatliche Periodizität beweisen. Standard: Noch festlegen; semantischer Jahreshinweis nur als erklärter Vorschlag.</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Dashboard-Warnungen zeigen mehrfach Zahlung fehlt oder Betrag verändert ohne Kontext.</w:t>
            </w:r>
          </w:p>
        </w:tc>
        <w:tc>
          <w:tcPr>
            <w:tcW w:type="dxa" w:w="33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Der Nutzer weiss weder, was beobachtet wurde, noch ob er handeln muss. Mehrere Meldungen pro Vertrag erzeugen Lärm.</w:t>
            </w:r>
          </w:p>
        </w:tc>
        <w:tc>
          <w:tcPr>
            <w:tcW w:type="dxa" w:w="41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Pro Vertrag eine zusammengefasste, handlungsorientierte Meldung mit Beobachtung, Bedeutung, Datengrundlage und Zielaktion.</w:t>
            </w:r>
          </w:p>
        </w:tc>
      </w:tr>
      <w:tr>
        <w:trPr>
          <w:cantSplit/>
        </w:trPr>
        <w:tc>
          <w:tcPr>
            <w:tcW w:type="dxa" w:w="23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Budgetstatus ist weiterhin eine breite operative Kategorie-Kontrolle.</w:t>
            </w:r>
          </w:p>
        </w:tc>
        <w:tc>
          <w:tcPr>
            <w:tcW w:type="dxa" w:w="33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Plan, Ist und Prognose sind schwer zu erfassen; Einnahmen und Ausgaben konkurrieren im selben Raster.</w:t>
            </w:r>
          </w:p>
        </w:tc>
        <w:tc>
          <w:tcPr>
            <w:tcW w:type="dxa" w:w="41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Visuelle Zusammenfassung davor; Einnahmen grün, Ausgaben rot, aber immer zusätzlich mit Text/Label/Icon.</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Jahresbudget kann nicht verständlich festgelegt und gegen Jahresende prognostiziert werden.</w:t>
            </w:r>
          </w:p>
        </w:tc>
        <w:tc>
          <w:tcPr>
            <w:tcW w:type="dxa" w:w="33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Das frühere XLS bleibt faktisch die Planungswahrheit; FinanceManager beantwortet Restbetrag und Investierbarkeit nicht.</w:t>
            </w:r>
          </w:p>
        </w:tc>
        <w:tc>
          <w:tcPr>
            <w:tcW w:type="dxa" w:w="41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Vollständigen Jahresbudgetassistenten mit Planpositionen, Rhythmen, Jahreswerten, Rückstellungen und Forecast liefern.</w:t>
            </w:r>
          </w:p>
        </w:tc>
      </w:tr>
    </w:tbl>
    <w:p>
      <w:pPr>
        <w:spacing w:after="20"/>
      </w:pP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C53D32"/>
            <w:tcMar>
              <w:top w:w="70" w:type="dxa"/>
              <w:start w:w="100" w:type="dxa"/>
              <w:bottom w:w="70" w:type="dxa"/>
              <w:end w:w="100" w:type="dxa"/>
            </w:tcMar>
            <w:vAlign w:val="center"/>
            <w:tcBorders>
              <w:top w:val="single" w:sz="4" w:color="FCEFED"/>
              <w:left w:val="single" w:sz="4" w:color="FCEFED"/>
              <w:bottom w:val="single" w:sz="4" w:color="FCEFED"/>
              <w:right w:val="single" w:sz="4" w:color="FCEFED"/>
            </w:tcBorders>
          </w:tcPr>
          <w:p/>
        </w:tc>
        <w:tc>
          <w:tcPr>
            <w:tcW w:type="dxa" w:w="9660"/>
            <w:shd w:fill="FCEFED"/>
            <w:tcMar>
              <w:top w:w="120" w:type="dxa"/>
              <w:start w:w="100" w:type="dxa"/>
              <w:bottom w:w="120" w:type="dxa"/>
              <w:end w:w="100" w:type="dxa"/>
            </w:tcMar>
            <w:vAlign w:val="center"/>
            <w:tcBorders>
              <w:top w:val="single" w:sz="4" w:color="FCEFED"/>
              <w:left w:val="single" w:sz="4" w:color="FCEFED"/>
              <w:bottom w:val="single" w:sz="4" w:color="FCEFED"/>
              <w:right w:val="single" w:sz="4" w:color="FCEFED"/>
            </w:tcBorders>
          </w:tcPr>
          <w:p>
            <w:pPr>
              <w:keepNext w:val="0"/>
              <w:keepLines w:val="0"/>
              <w:widowControl/>
              <w:spacing w:after="20"/>
            </w:pPr>
            <w:r>
              <w:rPr>
                <w:rFonts w:ascii="Aptos" w:hAnsi="Aptos" w:eastAsia="Aptos"/>
                <w:b/>
                <w:color w:val="C53D32"/>
                <w:sz w:val="18"/>
              </w:rPr>
              <w:t>Kernregel der Kandidatenerkennung</w:t>
            </w:r>
            <w:r>
              <w:rPr>
                <w:rFonts w:ascii="Aptos" w:hAnsi="Aptos" w:eastAsia="Aptos"/>
                <w:color w:val="1D2939"/>
                <w:sz w:val="18"/>
              </w:rPr>
              <w:br/>
              <w:t>Wiederholung ist eine Eigenschaft mehrerer Beobachtungen oder einer expliziten Nutzerbestätigung. Eine einzelne Buchung darf niemals allein zu monatlich führen.</w:t>
            </w:r>
          </w:p>
        </w:tc>
      </w:tr>
    </w:tbl>
    <w:p>
      <w:pPr>
        <w:spacing w:after="20"/>
      </w:pPr>
    </w:p>
    <w:p>
      <w:pPr>
        <w:pStyle w:val="Heading1"/>
      </w:pPr>
      <w:r>
        <w:t>5. Produktprinzipien 2.2</w:t>
      </w:r>
    </w:p>
    <w:tbl>
      <w:tblPr>
        <w:tblW w:type="dxa" w:w="9840"/>
        <w:tblLayout w:type="fixed"/>
        <w:tblLook w:firstColumn="1" w:firstRow="1" w:lastColumn="0" w:lastRow="0" w:noHBand="0" w:noVBand="1" w:val="04A0"/>
        <w:jc w:val="left"/>
        <w:tblInd w:w="100" w:type="dxa"/>
      </w:tblPr>
      <w:tblGrid>
        <w:gridCol w:w="2300"/>
        <w:gridCol w:w="7540"/>
      </w:tblGrid>
      <w:tr>
        <w:trPr>
          <w:trHeight w:hRule="atLeast"/>
          <w:tblHeader w:val="true"/>
        </w:trPr>
        <w:tc>
          <w:tcPr>
            <w:tcW w:type="dxa" w:w="23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Prinzip</w:t>
            </w:r>
          </w:p>
        </w:tc>
        <w:tc>
          <w:tcPr>
            <w:tcW w:type="dxa" w:w="754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Konkrete Auswirkung</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Eine Finanzwahrheit</w:t>
            </w:r>
          </w:p>
        </w:tc>
        <w:tc>
          <w:tcPr>
            <w:tcW w:type="dxa" w:w="75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Ist, Kategorien, Budget, Forecast und Jahresrest verwenden dieselben bestätigten Transaktionen und Neutralitätsregeln.</w:t>
            </w:r>
          </w:p>
        </w:tc>
      </w:tr>
      <w:tr>
        <w:trPr>
          <w:cantSplit/>
        </w:trPr>
        <w:tc>
          <w:tcPr>
            <w:tcW w:type="dxa" w:w="23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Plan ist nicht Forecast</w:t>
            </w:r>
          </w:p>
        </w:tc>
        <w:tc>
          <w:tcPr>
            <w:tcW w:type="dxa" w:w="75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Plan = bewusster Zielwert; Forecast = erwartetes Ergebnis aus Ist, Fälligkeiten und Annahmen.</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Rhythmus vor Hochrechnung</w:t>
            </w:r>
          </w:p>
        </w:tc>
        <w:tc>
          <w:tcPr>
            <w:tcW w:type="dxa" w:w="75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Betrag pro Zahlung und Periodizität werden zuerst geklärt; erst danach entstehen Jahresbetrag und Monatsrückstellung.</w:t>
            </w:r>
          </w:p>
        </w:tc>
      </w:tr>
      <w:tr>
        <w:trPr>
          <w:cantSplit/>
        </w:trPr>
        <w:tc>
          <w:tcPr>
            <w:tcW w:type="dxa" w:w="23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Nutzerentscheid vor Automatik</w:t>
            </w:r>
          </w:p>
        </w:tc>
        <w:tc>
          <w:tcPr>
            <w:tcW w:type="dxa" w:w="75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Kandidaten sind editierbare Vorschläge. Confirm speichert den gewählten Rhythmus, nicht die ursprüngliche Heuristik.</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Erklärung statt Alert-Code</w:t>
            </w:r>
          </w:p>
        </w:tc>
        <w:tc>
          <w:tcPr>
            <w:tcW w:type="dxa" w:w="75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Jede Meldung beantwortet: Was wurde beobachtet? Warum ist das relevant? Was soll ich tun?</w:t>
            </w:r>
          </w:p>
        </w:tc>
      </w:tr>
      <w:tr>
        <w:trPr>
          <w:cantSplit/>
        </w:trPr>
        <w:tc>
          <w:tcPr>
            <w:tcW w:type="dxa" w:w="23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Ausnahmen statt Warnungsflut</w:t>
            </w:r>
          </w:p>
        </w:tc>
        <w:tc>
          <w:tcPr>
            <w:tcW w:type="dxa" w:w="75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Meldungen werden pro Vertrag gebündelt, priorisiert und nach Erledigung oder Bestätigung ruhig.</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Keine falsche Präzision</w:t>
            </w:r>
          </w:p>
        </w:tc>
        <w:tc>
          <w:tcPr>
            <w:tcW w:type="dxa" w:w="75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Frei verfügbar erscheint nur mit ausgewiesener Coverage; unsichere Daten ergeben Bandbreite oder Nicht beurteilbar.</w:t>
            </w:r>
          </w:p>
        </w:tc>
      </w:tr>
      <w:tr>
        <w:trPr>
          <w:cantSplit/>
        </w:trPr>
        <w:tc>
          <w:tcPr>
            <w:tcW w:type="dxa" w:w="23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Farbe plus Bedeutung</w:t>
            </w:r>
          </w:p>
        </w:tc>
        <w:tc>
          <w:tcPr>
            <w:tcW w:type="dxa" w:w="75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Grün/Rot unterstützt Einnahme/Ausgabe; Status bleibt zusätzlich als Text, Symbol und Betrag erkennbar.</w:t>
            </w:r>
          </w:p>
        </w:tc>
      </w:tr>
      <w:tr>
        <w:trPr>
          <w:cantSplit/>
        </w:trPr>
        <w:tc>
          <w:tcPr>
            <w:tcW w:type="dxa" w:w="23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Domain-Grenze</w:t>
            </w:r>
          </w:p>
        </w:tc>
        <w:tc>
          <w:tcPr>
            <w:tcW w:type="dxa" w:w="75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Das globale JARVIS-Dashboard erhält nur sanitierte Status-Counts und Links; Händler, Beträge und Planpositionen bleiben im FinanceManager.</w:t>
            </w:r>
          </w:p>
        </w:tc>
      </w:tr>
    </w:tbl>
    <w:p>
      <w:pPr>
        <w:spacing w:after="20"/>
      </w:pPr>
    </w:p>
    <w:p>
      <w:pPr>
        <w:pStyle w:val="Heading1"/>
      </w:pPr>
      <w:r>
        <w:t>6. Fixkosten und Abos: fachliches Zielmodell</w:t>
      </w:r>
    </w:p>
    <w:p>
      <w:pPr>
        <w:keepNext w:val="0"/>
        <w:keepLines w:val="0"/>
        <w:widowControl/>
      </w:pPr>
      <w:r>
        <w:rPr>
          <w:rFonts w:ascii="Aptos" w:hAnsi="Aptos" w:eastAsia="Aptos"/>
          <w:color w:val="1D2939"/>
        </w:rPr>
        <w:t>Ein erkannter Kandidat ist ein Entwurf für eine Planposition. Er wird erst nach Nutzerbestätigung zu einer wiederkehrenden Verpflichtung.</w:t>
      </w:r>
    </w:p>
    <w:tbl>
      <w:tblPr>
        <w:tblW w:type="dxa" w:w="9840"/>
        <w:tblLayout w:type="fixed"/>
        <w:tblLook w:firstColumn="1" w:firstRow="1" w:lastColumn="0" w:lastRow="0" w:noHBand="0" w:noVBand="1" w:val="04A0"/>
        <w:jc w:val="left"/>
        <w:tblInd w:w="100" w:type="dxa"/>
      </w:tblPr>
      <w:tblGrid>
        <w:gridCol w:w="1800"/>
        <w:gridCol w:w="3890"/>
        <w:gridCol w:w="4150"/>
      </w:tblGrid>
      <w:tr>
        <w:trPr>
          <w:trHeight w:hRule="atLeast"/>
          <w:tblHeader w:val="true"/>
        </w:trPr>
        <w:tc>
          <w:tcPr>
            <w:tcW w:type="dxa" w:w="18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Feld</w:t>
            </w:r>
          </w:p>
        </w:tc>
        <w:tc>
          <w:tcPr>
            <w:tcW w:type="dxa" w:w="389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Bedeutung</w:t>
            </w:r>
          </w:p>
        </w:tc>
        <w:tc>
          <w:tcPr>
            <w:tcW w:type="dxa" w:w="41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UI-Verhalten vor Confirm</w:t>
            </w:r>
          </w:p>
        </w:tc>
      </w:tr>
      <w:tr>
        <w:trPr>
          <w:cantSplit/>
        </w:trPr>
        <w:tc>
          <w:tcPr>
            <w:tcW w:type="dxa" w:w="18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Name/Händler</w:t>
            </w:r>
          </w:p>
        </w:tc>
        <w:tc>
          <w:tcPr>
            <w:tcW w:type="dxa" w:w="38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Verständliche Bezeichnung; Händlernormalisierung bleibt intern nachvollziehbar.</w:t>
            </w:r>
          </w:p>
        </w:tc>
        <w:tc>
          <w:tcPr>
            <w:tcW w:type="dxa" w:w="41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Editierbar, ohne die Originalbuchung umzubenennen.</w:t>
            </w:r>
          </w:p>
        </w:tc>
      </w:tr>
      <w:tr>
        <w:trPr>
          <w:cantSplit/>
        </w:trPr>
        <w:tc>
          <w:tcPr>
            <w:tcW w:type="dxa" w:w="18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Kategorie</w:t>
            </w:r>
          </w:p>
        </w:tc>
        <w:tc>
          <w:tcPr>
            <w:tcW w:type="dxa" w:w="38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Kanonische Einnahmen- oder Ausgabenkategorie.</w:t>
            </w:r>
          </w:p>
        </w:tc>
        <w:tc>
          <w:tcPr>
            <w:tcW w:type="dxa" w:w="41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Auswahl aus bestehenden Kategorien; kein stilles Neuanlegen.</w:t>
            </w:r>
          </w:p>
        </w:tc>
      </w:tr>
      <w:tr>
        <w:trPr>
          <w:cantSplit/>
        </w:trPr>
        <w:tc>
          <w:tcPr>
            <w:tcW w:type="dxa" w:w="18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Typ</w:t>
            </w:r>
          </w:p>
        </w:tc>
        <w:tc>
          <w:tcPr>
            <w:tcW w:type="dxa" w:w="38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Abo, Fixkosten, variable Wiederholung, Einkommen oder einmalige bekannte Zahlung.</w:t>
            </w:r>
          </w:p>
        </w:tc>
        <w:tc>
          <w:tcPr>
            <w:tcW w:type="dxa" w:w="41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Vorschlag auswählbar und erklärbar.</w:t>
            </w:r>
          </w:p>
        </w:tc>
      </w:tr>
      <w:tr>
        <w:trPr>
          <w:cantSplit/>
        </w:trPr>
        <w:tc>
          <w:tcPr>
            <w:tcW w:type="dxa" w:w="18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Betrag pro Zahlung</w:t>
            </w:r>
          </w:p>
        </w:tc>
        <w:tc>
          <w:tcPr>
            <w:tcW w:type="dxa" w:w="38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Erwarteter Einzelbetrag oder Bandbreite.</w:t>
            </w:r>
          </w:p>
        </w:tc>
        <w:tc>
          <w:tcPr>
            <w:tcW w:type="dxa" w:w="41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Editierbar; Originalwerte im Detail sichtbar.</w:t>
            </w:r>
          </w:p>
        </w:tc>
      </w:tr>
      <w:tr>
        <w:trPr>
          <w:cantSplit/>
        </w:trPr>
        <w:tc>
          <w:tcPr>
            <w:tcW w:type="dxa" w:w="18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Rhythmus</w:t>
            </w:r>
          </w:p>
        </w:tc>
        <w:tc>
          <w:tcPr>
            <w:tcW w:type="dxa" w:w="38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wöchentlich, monatlich, vierteljährlich, halbjährlich, jährlich, einmalig, unregelmässig oder frei geplant.</w:t>
            </w:r>
          </w:p>
        </w:tc>
        <w:tc>
          <w:tcPr>
            <w:tcW w:type="dxa" w:w="41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Pflichtauswahl, wenn nicht evidenzbasiert eindeutig.</w:t>
            </w:r>
          </w:p>
        </w:tc>
      </w:tr>
      <w:tr>
        <w:trPr>
          <w:cantSplit/>
        </w:trPr>
        <w:tc>
          <w:tcPr>
            <w:tcW w:type="dxa" w:w="18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Fälligkeit</w:t>
            </w:r>
          </w:p>
        </w:tc>
        <w:tc>
          <w:tcPr>
            <w:tcW w:type="dxa" w:w="38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Nächstes Datum oder bekannte Fälligkeitsmonate.</w:t>
            </w:r>
          </w:p>
        </w:tc>
        <w:tc>
          <w:tcPr>
            <w:tcW w:type="dxa" w:w="41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Nur aus bestätigtem Rhythmus ableiten; manuell übersteuerbar.</w:t>
            </w:r>
          </w:p>
        </w:tc>
      </w:tr>
      <w:tr>
        <w:trPr>
          <w:cantSplit/>
        </w:trPr>
        <w:tc>
          <w:tcPr>
            <w:tcW w:type="dxa" w:w="18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Jahreswirkung</w:t>
            </w:r>
          </w:p>
        </w:tc>
        <w:tc>
          <w:tcPr>
            <w:tcW w:type="dxa" w:w="38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Summe der im Planjahr erwarteten Zahlungen.</w:t>
            </w:r>
          </w:p>
        </w:tc>
        <w:tc>
          <w:tcPr>
            <w:tcW w:type="dxa" w:w="41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Live aus Betrag, Rhythmus und Fälligkeiten berechnen.</w:t>
            </w:r>
          </w:p>
        </w:tc>
      </w:tr>
      <w:tr>
        <w:trPr>
          <w:cantSplit/>
        </w:trPr>
        <w:tc>
          <w:tcPr>
            <w:tcW w:type="dxa" w:w="18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Monatsrückstellung</w:t>
            </w:r>
          </w:p>
        </w:tc>
        <w:tc>
          <w:tcPr>
            <w:tcW w:type="dxa" w:w="38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Jahreswirkung geteilt durch zwölf, nicht zwingend tatsächliche Monatszahlung.</w:t>
            </w:r>
          </w:p>
        </w:tc>
        <w:tc>
          <w:tcPr>
            <w:tcW w:type="dxa" w:w="41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Separat beschriften, damit Quartals-/Jahreszahlungen verständlich bleiben.</w:t>
            </w:r>
          </w:p>
        </w:tc>
      </w:tr>
      <w:tr>
        <w:trPr>
          <w:cantSplit/>
        </w:trPr>
        <w:tc>
          <w:tcPr>
            <w:tcW w:type="dxa" w:w="18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Datengrundlage</w:t>
            </w:r>
          </w:p>
        </w:tc>
        <w:tc>
          <w:tcPr>
            <w:tcW w:type="dxa" w:w="38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Anzahl Beobachtungen, Zeitraum, Regel und Konflikte.</w:t>
            </w:r>
          </w:p>
        </w:tc>
        <w:tc>
          <w:tcPr>
            <w:tcW w:type="dxa" w:w="41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In Alltagssprache; numerische Confidence nur im Detail.</w:t>
            </w:r>
          </w:p>
        </w:tc>
      </w:tr>
    </w:tbl>
    <w:p>
      <w:pPr>
        <w:spacing w:after="20"/>
      </w:pPr>
    </w:p>
    <w:p>
      <w:pPr>
        <w:pStyle w:val="Heading2"/>
      </w:pPr>
      <w:r>
        <w:t>6.1 Erkennungsregeln</w:t>
      </w:r>
    </w:p>
    <w:p>
      <w:pPr>
        <w:pStyle w:val="ListNumber"/>
        <w:numPr>
          <w:ilvl w:val="0"/>
          <w:numId w:val="10"/>
        </w:numPr>
      </w:pPr>
      <w:r>
        <w:rPr>
          <w:rFonts w:ascii="Aptos" w:hAnsi="Aptos" w:eastAsia="Aptos"/>
          <w:color w:val="1D2939"/>
        </w:rPr>
        <w:t>Mindestens zwei zeitlich passende Beobachtungen sind nötig, um einen Rhythmus aus Transaktionen abzuleiten.</w:t>
      </w:r>
    </w:p>
    <w:p>
      <w:pPr>
        <w:pStyle w:val="ListNumber"/>
        <w:numPr>
          <w:ilvl w:val="0"/>
          <w:numId w:val="10"/>
        </w:numPr>
      </w:pPr>
      <w:r>
        <w:rPr>
          <w:rFonts w:ascii="Aptos" w:hAnsi="Aptos" w:eastAsia="Aptos"/>
          <w:color w:val="1D2939"/>
        </w:rPr>
        <w:t>Eine einzelne Beobachtung bleibt einmalig beziehungsweise Noch festlegen. Ein starker semantischer Hinweis wie Autobahnvignette 2026 darf jährlich vorschlagen, muss aber als Vorschlag erklärt und bestätigt werden.</w:t>
      </w:r>
    </w:p>
    <w:p>
      <w:pPr>
        <w:pStyle w:val="ListNumber"/>
        <w:numPr>
          <w:ilvl w:val="0"/>
          <w:numId w:val="10"/>
        </w:numPr>
      </w:pPr>
      <w:r>
        <w:rPr>
          <w:rFonts w:ascii="Aptos" w:hAnsi="Aptos" w:eastAsia="Aptos"/>
          <w:color w:val="1D2939"/>
        </w:rPr>
        <w:t>Monatlich wird nur vorgeschlagen, wenn mehrere Abstände zum Monatsrhythmus passen; jährlich nur bei Jahresabstand oder bestätigter Semantik.</w:t>
      </w:r>
    </w:p>
    <w:p>
      <w:pPr>
        <w:pStyle w:val="ListNumber"/>
        <w:numPr>
          <w:ilvl w:val="0"/>
          <w:numId w:val="10"/>
        </w:numPr>
      </w:pPr>
      <w:r>
        <w:rPr>
          <w:rFonts w:ascii="Aptos" w:hAnsi="Aptos" w:eastAsia="Aptos"/>
          <w:color w:val="1D2939"/>
        </w:rPr>
        <w:t>Jahreswechsel, Arbeitstage, variable Abbuchungstage und Betragsschwankungen werden toleriert, ohne die Periodizität zu erfinden.</w:t>
      </w:r>
    </w:p>
    <w:p>
      <w:pPr>
        <w:pStyle w:val="ListNumber"/>
        <w:numPr>
          <w:ilvl w:val="0"/>
          <w:numId w:val="10"/>
        </w:numPr>
      </w:pPr>
      <w:r>
        <w:rPr>
          <w:rFonts w:ascii="Aptos" w:hAnsi="Aptos" w:eastAsia="Aptos"/>
          <w:color w:val="1D2939"/>
        </w:rPr>
        <w:t>Nach manueller Änderung überschreibt die bestätigte Nutzerwahl die Heuristik für diesen Vertrag; Änderungen bleiben auditierbar.</w:t>
      </w:r>
    </w:p>
    <w:p>
      <w:pPr>
        <w:pStyle w:val="ListNumber"/>
        <w:numPr>
          <w:ilvl w:val="0"/>
          <w:numId w:val="10"/>
        </w:numPr>
      </w:pPr>
      <w:r>
        <w:rPr>
          <w:rFonts w:ascii="Aptos" w:hAnsi="Aptos" w:eastAsia="Aptos"/>
          <w:color w:val="1D2939"/>
        </w:rPr>
        <w:t>Nächste Fälligkeit wird nie aus einer unbestätigten Periodizität als Tatsache angezeigt.</w:t>
      </w: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B86A00"/>
            <w:tcMar>
              <w:top w:w="70" w:type="dxa"/>
              <w:start w:w="100" w:type="dxa"/>
              <w:bottom w:w="70" w:type="dxa"/>
              <w:end w:w="100" w:type="dxa"/>
            </w:tcMar>
            <w:vAlign w:val="center"/>
            <w:tcBorders>
              <w:top w:val="single" w:sz="4" w:color="FFF5E6"/>
              <w:left w:val="single" w:sz="4" w:color="FFF5E6"/>
              <w:bottom w:val="single" w:sz="4" w:color="FFF5E6"/>
              <w:right w:val="single" w:sz="4" w:color="FFF5E6"/>
            </w:tcBorders>
          </w:tcPr>
          <w:p/>
        </w:tc>
        <w:tc>
          <w:tcPr>
            <w:tcW w:type="dxa" w:w="9660"/>
            <w:shd w:fill="FFF5E6"/>
            <w:tcMar>
              <w:top w:w="120" w:type="dxa"/>
              <w:start w:w="100" w:type="dxa"/>
              <w:bottom w:w="120" w:type="dxa"/>
              <w:end w:w="100" w:type="dxa"/>
            </w:tcMar>
            <w:vAlign w:val="center"/>
            <w:tcBorders>
              <w:top w:val="single" w:sz="4" w:color="FFF5E6"/>
              <w:left w:val="single" w:sz="4" w:color="FFF5E6"/>
              <w:bottom w:val="single" w:sz="4" w:color="FFF5E6"/>
              <w:right w:val="single" w:sz="4" w:color="FFF5E6"/>
            </w:tcBorders>
          </w:tcPr>
          <w:p>
            <w:pPr>
              <w:keepNext w:val="0"/>
              <w:keepLines w:val="0"/>
              <w:widowControl/>
              <w:spacing w:after="20"/>
            </w:pPr>
            <w:r>
              <w:rPr>
                <w:rFonts w:ascii="Aptos" w:hAnsi="Aptos" w:eastAsia="Aptos"/>
                <w:b/>
                <w:color w:val="B86A00"/>
                <w:sz w:val="18"/>
              </w:rPr>
              <w:t>Beispiel Autobahnvignette</w:t>
            </w:r>
            <w:r>
              <w:rPr>
                <w:rFonts w:ascii="Aptos" w:hAnsi="Aptos" w:eastAsia="Aptos"/>
                <w:color w:val="1D2939"/>
                <w:sz w:val="18"/>
              </w:rPr>
              <w:br/>
              <w:t>Eine Buchung über CHF 12.00 im Mai 2026 ist kein Beweis für zwölf Monatszahlungen. Die sichere Standardanzeige lautet Einmalige Beobachtung - Rhythmus festlegen. Falls der Text Autobahnvignette 2026 semantisch ausgewertet wird, darf Jährlich als editierbarer Vorschlag erscheinen; Monatlich ist ausgeschlossen.</w:t>
            </w:r>
          </w:p>
        </w:tc>
      </w:tr>
    </w:tbl>
    <w:p>
      <w:pPr>
        <w:spacing w:after="20"/>
      </w:pPr>
    </w:p>
    <w:p>
      <w:pPr>
        <w:pStyle w:val="Heading1"/>
      </w:pPr>
      <w:r>
        <w:t>7. Verständliche Hinweise statt Dashboard-Warnungen</w:t>
      </w:r>
    </w:p>
    <w:p>
      <w:pPr>
        <w:keepNext w:val="0"/>
        <w:keepLines w:val="0"/>
        <w:widowControl/>
      </w:pPr>
      <w:r>
        <w:rPr>
          <w:rFonts w:ascii="Aptos" w:hAnsi="Aptos" w:eastAsia="Aptos"/>
          <w:color w:val="1D2939"/>
        </w:rPr>
        <w:t>Die bestehende Warnungsliste wird zu einem Bereich Hinweise zu laufenden Zahlungen. Er zeigt nur Abweichungen, deren Prüfung Plan oder Forecast materiell verbessern kann.</w:t>
      </w:r>
    </w:p>
    <w:tbl>
      <w:tblPr>
        <w:tblW w:type="dxa" w:w="9840"/>
        <w:tblLayout w:type="fixed"/>
        <w:tblLook w:firstColumn="1" w:firstRow="1" w:lastColumn="0" w:lastRow="0" w:noHBand="0" w:noVBand="1" w:val="04A0"/>
        <w:jc w:val="left"/>
        <w:tblInd w:w="100" w:type="dxa"/>
      </w:tblPr>
      <w:tblGrid>
        <w:gridCol w:w="1950"/>
        <w:gridCol w:w="5090"/>
        <w:gridCol w:w="2800"/>
      </w:tblGrid>
      <w:tr>
        <w:trPr>
          <w:trHeight w:hRule="atLeast"/>
          <w:tblHeader w:val="true"/>
        </w:trPr>
        <w:tc>
          <w:tcPr>
            <w:tcW w:type="dxa" w:w="19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Bisher</w:t>
            </w:r>
          </w:p>
        </w:tc>
        <w:tc>
          <w:tcPr>
            <w:tcW w:type="dxa" w:w="509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Zieltext</w:t>
            </w:r>
          </w:p>
        </w:tc>
        <w:tc>
          <w:tcPr>
            <w:tcW w:type="dxa" w:w="28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Direkte Aktion</w:t>
            </w:r>
          </w:p>
        </w:tc>
      </w:tr>
      <w:tr>
        <w:trPr>
          <w:cantSplit/>
        </w:trPr>
        <w:tc>
          <w:tcPr>
            <w:tcW w:type="dxa" w:w="19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Zahlung fehlt · Disney Plus</w:t>
            </w:r>
          </w:p>
        </w:tc>
        <w:tc>
          <w:tcPr>
            <w:tcW w:type="dxa" w:w="50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Disney Plus wurde im erwarteten Zeitraum noch nicht gefunden. Erwartet um den 15. Juli; Daten bis 31. Juli vorhanden.</w:t>
            </w:r>
          </w:p>
        </w:tc>
        <w:tc>
          <w:tcPr>
            <w:tcW w:type="dxa" w:w="28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Als pausiert markieren · Zeitraum ändern · Buchungen öffnen</w:t>
            </w:r>
          </w:p>
        </w:tc>
      </w:tr>
      <w:tr>
        <w:trPr>
          <w:cantSplit/>
        </w:trPr>
        <w:tc>
          <w:tcPr>
            <w:tcW w:type="dxa" w:w="19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Betrag verändert · Amazon Prime</w:t>
            </w:r>
          </w:p>
        </w:tc>
        <w:tc>
          <w:tcPr>
            <w:tcW w:type="dxa" w:w="50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Amazon Prime beträgt neu CHF 11.90 statt bisher CHF 9.90. Das erhöht den Jahresforecast um CHF 24.00.</w:t>
            </w:r>
          </w:p>
        </w:tc>
        <w:tc>
          <w:tcPr>
            <w:tcW w:type="dxa" w:w="28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Neuen Betrag übernehmen · Als Ausnahme ignorieren</w:t>
            </w:r>
          </w:p>
        </w:tc>
      </w:tr>
      <w:tr>
        <w:trPr>
          <w:cantSplit/>
        </w:trPr>
        <w:tc>
          <w:tcPr>
            <w:tcW w:type="dxa" w:w="19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Zahlung fehlt + Betrag verändert</w:t>
            </w:r>
          </w:p>
        </w:tc>
        <w:tc>
          <w:tcPr>
            <w:tcW w:type="dxa" w:w="50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Eine kombinierte Karte zeigt beide Beobachtungen chronologisch und nennt eine empfohlene Hauptaktion.</w:t>
            </w:r>
          </w:p>
        </w:tc>
        <w:tc>
          <w:tcPr>
            <w:tcW w:type="dxa" w:w="28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Vertrag prüfen</w:t>
            </w:r>
          </w:p>
        </w:tc>
      </w:tr>
      <w:tr>
        <w:trPr>
          <w:cantSplit/>
        </w:trPr>
        <w:tc>
          <w:tcPr>
            <w:tcW w:type="dxa" w:w="19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neuer Kandidat · Versicherungen</w:t>
            </w:r>
          </w:p>
        </w:tc>
        <w:tc>
          <w:tcPr>
            <w:tcW w:type="dxa" w:w="50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Mögliche wiederkehrende Zahlung erkannt. Eine Beobachtung; Rhythmus und Jahreswirkung noch nicht festgelegt.</w:t>
            </w:r>
          </w:p>
        </w:tc>
        <w:tc>
          <w:tcPr>
            <w:tcW w:type="dxa" w:w="28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Kandidat prüfen</w:t>
            </w:r>
          </w:p>
        </w:tc>
      </w:tr>
    </w:tbl>
    <w:p>
      <w:pPr>
        <w:spacing w:after="20"/>
      </w:pPr>
    </w:p>
    <w:p>
      <w:pPr>
        <w:pStyle w:val="ListBullet"/>
        <w:keepNext w:val="0"/>
        <w:keepLines w:val="0"/>
        <w:widowControl/>
      </w:pPr>
      <w:r>
        <w:rPr>
          <w:rFonts w:ascii="Aptos" w:hAnsi="Aptos" w:eastAsia="Aptos"/>
          <w:color w:val="1D2939"/>
        </w:rPr>
        <w:t>Keine Priorität normal anzeigen; normale Hinweise benötigen kein Prioritätslabel.</w:t>
      </w:r>
    </w:p>
    <w:p>
      <w:pPr>
        <w:pStyle w:val="ListBullet"/>
        <w:keepNext w:val="0"/>
        <w:keepLines w:val="0"/>
        <w:widowControl/>
      </w:pPr>
      <w:r>
        <w:rPr>
          <w:rFonts w:ascii="Aptos" w:hAnsi="Aptos" w:eastAsia="Aptos"/>
          <w:color w:val="1D2939"/>
        </w:rPr>
        <w:t>Nur kritisch/hoch hervorheben, wenn eine konkrete finanzielle oder datenbezogene Auswirkung besteht.</w:t>
      </w:r>
    </w:p>
    <w:p>
      <w:pPr>
        <w:pStyle w:val="ListBullet"/>
        <w:keepNext w:val="0"/>
        <w:keepLines w:val="0"/>
        <w:widowControl/>
      </w:pPr>
      <w:r>
        <w:rPr>
          <w:rFonts w:ascii="Aptos" w:hAnsi="Aptos" w:eastAsia="Aptos"/>
          <w:color w:val="1D2939"/>
        </w:rPr>
        <w:t>Pro Vertrag höchstens eine offene Karte; mehrere Gründe innerhalb derselben Karte bündeln.</w:t>
      </w:r>
    </w:p>
    <w:p>
      <w:pPr>
        <w:pStyle w:val="ListBullet"/>
        <w:keepNext w:val="0"/>
        <w:keepLines w:val="0"/>
        <w:widowControl/>
      </w:pPr>
      <w:r>
        <w:rPr>
          <w:rFonts w:ascii="Aptos" w:hAnsi="Aptos" w:eastAsia="Aptos"/>
          <w:color w:val="1D2939"/>
        </w:rPr>
        <w:t>Jede Karte nennt Datenstand, erwarteten Zeitraum, Vergleichsbetrag und Forecastwirkung, soweit beurteilbar.</w:t>
      </w:r>
    </w:p>
    <w:p>
      <w:pPr>
        <w:pStyle w:val="ListBullet"/>
        <w:keepNext w:val="0"/>
        <w:keepLines w:val="0"/>
        <w:widowControl/>
      </w:pPr>
      <w:r>
        <w:rPr>
          <w:rFonts w:ascii="Aptos" w:hAnsi="Aptos" w:eastAsia="Aptos"/>
          <w:color w:val="1D2939"/>
        </w:rPr>
        <w:t>Bestätigte Ferienpause, Kündigung, jährlicher Rhythmus oder neue Preisbasis verhindert wiederholte identische Warnungen.</w:t>
      </w:r>
    </w:p>
    <w:p>
      <w:pPr>
        <w:pStyle w:val="Heading1"/>
      </w:pPr>
      <w:r>
        <w:t>8. Jahresbudgetassistent</w:t>
      </w: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168A5B"/>
            <w:tcMar>
              <w:top w:w="70" w:type="dxa"/>
              <w:start w:w="100" w:type="dxa"/>
              <w:bottom w:w="70" w:type="dxa"/>
              <w:end w:w="100" w:type="dxa"/>
            </w:tcMar>
            <w:vAlign w:val="center"/>
            <w:tcBorders>
              <w:top w:val="single" w:sz="4" w:color="EAF7F1"/>
              <w:left w:val="single" w:sz="4" w:color="EAF7F1"/>
              <w:bottom w:val="single" w:sz="4" w:color="EAF7F1"/>
              <w:right w:val="single" w:sz="4" w:color="EAF7F1"/>
            </w:tcBorders>
          </w:tcPr>
          <w:p/>
        </w:tc>
        <w:tc>
          <w:tcPr>
            <w:tcW w:type="dxa" w:w="9660"/>
            <w:shd w:fill="EAF7F1"/>
            <w:tcMar>
              <w:top w:w="120" w:type="dxa"/>
              <w:start w:w="100" w:type="dxa"/>
              <w:bottom w:w="120" w:type="dxa"/>
              <w:end w:w="100" w:type="dxa"/>
            </w:tcMar>
            <w:vAlign w:val="center"/>
            <w:tcBorders>
              <w:top w:val="single" w:sz="4" w:color="EAF7F1"/>
              <w:left w:val="single" w:sz="4" w:color="EAF7F1"/>
              <w:bottom w:val="single" w:sz="4" w:color="EAF7F1"/>
              <w:right w:val="single" w:sz="4" w:color="EAF7F1"/>
            </w:tcBorders>
          </w:tcPr>
          <w:p>
            <w:pPr>
              <w:keepNext w:val="0"/>
              <w:keepLines w:val="0"/>
              <w:widowControl/>
              <w:spacing w:after="20"/>
            </w:pPr>
            <w:r>
              <w:rPr>
                <w:rFonts w:ascii="Aptos" w:hAnsi="Aptos" w:eastAsia="Aptos"/>
                <w:b/>
                <w:color w:val="168A5B"/>
                <w:sz w:val="18"/>
              </w:rPr>
              <w:t>Ziel des Assistenten</w:t>
            </w:r>
            <w:r>
              <w:rPr>
                <w:rFonts w:ascii="Aptos" w:hAnsi="Aptos" w:eastAsia="Aptos"/>
                <w:color w:val="1D2939"/>
                <w:sz w:val="18"/>
              </w:rPr>
              <w:br/>
              <w:t>Ein Nutzer kann ein Planjahr aus bekannten Einnahmen, Fixkosten, Abos, variablen Kategorien und Einmalbeträgen aufbauen, die Herleitung prüfen und vor Confirm sehen, welcher Jahresüberschuss und welche monatliche Rückstellung entstehen.</w:t>
            </w:r>
          </w:p>
        </w:tc>
      </w:tr>
    </w:tbl>
    <w:p>
      <w:pPr>
        <w:spacing w:after="20"/>
      </w:pPr>
    </w:p>
    <w:p>
      <w:pPr>
        <w:pStyle w:val="ListNumber"/>
        <w:numPr>
          <w:ilvl w:val="0"/>
          <w:numId w:val="11"/>
        </w:numPr>
      </w:pPr>
      <w:r>
        <w:rPr>
          <w:rFonts w:ascii="Aptos" w:hAnsi="Aptos" w:eastAsia="Aptos"/>
          <w:color w:val="1D2939"/>
        </w:rPr>
        <w:t>Planjahr wählen und Vorjahr beziehungsweise XLS-Vorlage als Quelle auswählen.</w:t>
      </w:r>
    </w:p>
    <w:p>
      <w:pPr>
        <w:pStyle w:val="ListNumber"/>
        <w:numPr>
          <w:ilvl w:val="0"/>
          <w:numId w:val="11"/>
        </w:numPr>
      </w:pPr>
      <w:r>
        <w:rPr>
          <w:rFonts w:ascii="Aptos" w:hAnsi="Aptos" w:eastAsia="Aptos"/>
          <w:color w:val="1D2939"/>
        </w:rPr>
        <w:t>Einnahmen erfassen: Betrag pro Zahlung, Rhythmus, Fälligkeiten, Jahresbetrag und Unsicherheit.</w:t>
      </w:r>
    </w:p>
    <w:p>
      <w:pPr>
        <w:pStyle w:val="ListNumber"/>
        <w:numPr>
          <w:ilvl w:val="0"/>
          <w:numId w:val="11"/>
        </w:numPr>
      </w:pPr>
      <w:r>
        <w:rPr>
          <w:rFonts w:ascii="Aptos" w:hAnsi="Aptos" w:eastAsia="Aptos"/>
          <w:color w:val="1D2939"/>
        </w:rPr>
        <w:t>Fixkosten/Abos übernehmen: bestätigte Verträge zuerst, unbestätigte Kandidaten separat.</w:t>
      </w:r>
    </w:p>
    <w:p>
      <w:pPr>
        <w:pStyle w:val="ListNumber"/>
        <w:numPr>
          <w:ilvl w:val="0"/>
          <w:numId w:val="11"/>
        </w:numPr>
      </w:pPr>
      <w:r>
        <w:rPr>
          <w:rFonts w:ascii="Aptos" w:hAnsi="Aptos" w:eastAsia="Aptos"/>
          <w:color w:val="1D2939"/>
        </w:rPr>
        <w:t>Variable Ausgaben planen: manuell, Vorjahreswert, rollierender Durchschnitt oder YTD-Hochrechnung als klar benannte Basis.</w:t>
      </w:r>
    </w:p>
    <w:p>
      <w:pPr>
        <w:pStyle w:val="ListNumber"/>
        <w:numPr>
          <w:ilvl w:val="0"/>
          <w:numId w:val="11"/>
        </w:numPr>
      </w:pPr>
      <w:r>
        <w:rPr>
          <w:rFonts w:ascii="Aptos" w:hAnsi="Aptos" w:eastAsia="Aptos"/>
          <w:color w:val="1D2939"/>
        </w:rPr>
        <w:t>Einmalige und saisonale Positionen mit konkreten Monaten ergänzen.</w:t>
      </w:r>
    </w:p>
    <w:p>
      <w:pPr>
        <w:pStyle w:val="ListNumber"/>
        <w:numPr>
          <w:ilvl w:val="0"/>
          <w:numId w:val="11"/>
        </w:numPr>
      </w:pPr>
      <w:r>
        <w:rPr>
          <w:rFonts w:ascii="Aptos" w:hAnsi="Aptos" w:eastAsia="Aptos"/>
          <w:color w:val="1D2939"/>
        </w:rPr>
        <w:t>Plan, monatliche Rückstellung, Liquiditätsmonate und Jahresüberschuss in einer Preview prüfen.</w:t>
      </w:r>
    </w:p>
    <w:p>
      <w:pPr>
        <w:pStyle w:val="ListNumber"/>
        <w:numPr>
          <w:ilvl w:val="0"/>
          <w:numId w:val="11"/>
        </w:numPr>
      </w:pPr>
      <w:r>
        <w:rPr>
          <w:rFonts w:ascii="Aptos" w:hAnsi="Aptos" w:eastAsia="Aptos"/>
          <w:color w:val="1D2939"/>
        </w:rPr>
        <w:t>Erst Confirm erzeugt eine neue unveränderliche Budgetversion samt Audit; vorher keine produktive Planänderung.</w:t>
      </w:r>
    </w:p>
    <w:tbl>
      <w:tblPr>
        <w:tblW w:type="dxa" w:w="9840"/>
        <w:tblLayout w:type="fixed"/>
        <w:tblLook w:firstColumn="1" w:firstRow="1" w:lastColumn="0" w:lastRow="0" w:noHBand="0" w:noVBand="1" w:val="04A0"/>
        <w:jc w:val="left"/>
        <w:tblInd w:w="100" w:type="dxa"/>
      </w:tblPr>
      <w:tblGrid>
        <w:gridCol w:w="1850"/>
        <w:gridCol w:w="4400"/>
        <w:gridCol w:w="3590"/>
      </w:tblGrid>
      <w:tr>
        <w:trPr>
          <w:trHeight w:hRule="atLeast"/>
          <w:tblHeader w:val="true"/>
        </w:trPr>
        <w:tc>
          <w:tcPr>
            <w:tcW w:type="dxa" w:w="18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Planposition</w:t>
            </w:r>
          </w:p>
        </w:tc>
        <w:tc>
          <w:tcPr>
            <w:tcW w:type="dxa" w:w="44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Pflichtfelder</w:t>
            </w:r>
          </w:p>
        </w:tc>
        <w:tc>
          <w:tcPr>
            <w:tcW w:type="dxa" w:w="359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Berechnung</w:t>
            </w:r>
          </w:p>
        </w:tc>
      </w:tr>
      <w:tr>
        <w:trPr>
          <w:cantSplit/>
        </w:trPr>
        <w:tc>
          <w:tcPr>
            <w:tcW w:type="dxa" w:w="18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Einnahme</w:t>
            </w:r>
          </w:p>
        </w:tc>
        <w:tc>
          <w:tcPr>
            <w:tcW w:type="dxa" w:w="44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Kategorie, Betrag pro Zahlung, Rhythmus, Fälligkeit, sicher/variabel</w:t>
            </w:r>
          </w:p>
        </w:tc>
        <w:tc>
          <w:tcPr>
            <w:tcW w:type="dxa" w:w="35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Jahreseinnahme und erwartete Monats-Cashflows</w:t>
            </w:r>
          </w:p>
        </w:tc>
      </w:tr>
      <w:tr>
        <w:trPr>
          <w:cantSplit/>
        </w:trPr>
        <w:tc>
          <w:tcPr>
            <w:tcW w:type="dxa" w:w="18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Fixkosten/Abo</w:t>
            </w:r>
          </w:p>
        </w:tc>
        <w:tc>
          <w:tcPr>
            <w:tcW w:type="dxa" w:w="44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Vertrag, Betrag, Rhythmus, nächste/weitere Fälligkeiten</w:t>
            </w:r>
          </w:p>
        </w:tc>
        <w:tc>
          <w:tcPr>
            <w:tcW w:type="dxa" w:w="35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Jahreskosten, Monatsrückstellung und Liquiditätsmonate</w:t>
            </w:r>
          </w:p>
        </w:tc>
      </w:tr>
      <w:tr>
        <w:trPr>
          <w:cantSplit/>
        </w:trPr>
        <w:tc>
          <w:tcPr>
            <w:tcW w:type="dxa" w:w="18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Variable Kategorie</w:t>
            </w:r>
          </w:p>
        </w:tc>
        <w:tc>
          <w:tcPr>
            <w:tcW w:type="dxa" w:w="44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Kategorie, Jahresziel oder Berechnungsbasis, optional Monatsprofil</w:t>
            </w:r>
          </w:p>
        </w:tc>
        <w:tc>
          <w:tcPr>
            <w:tcW w:type="dxa" w:w="35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Budgetziel und Forecast getrennt</w:t>
            </w:r>
          </w:p>
        </w:tc>
      </w:tr>
      <w:tr>
        <w:trPr>
          <w:cantSplit/>
        </w:trPr>
        <w:tc>
          <w:tcPr>
            <w:tcW w:type="dxa" w:w="18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Einmalbetrag</w:t>
            </w:r>
          </w:p>
        </w:tc>
        <w:tc>
          <w:tcPr>
            <w:tcW w:type="dxa" w:w="44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Beschreibung, Kategorie, Betrag, Monat</w:t>
            </w:r>
          </w:p>
        </w:tc>
        <w:tc>
          <w:tcPr>
            <w:tcW w:type="dxa" w:w="35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Genau einmal im Planjahr; keine Periodizität</w:t>
            </w:r>
          </w:p>
        </w:tc>
      </w:tr>
      <w:tr>
        <w:trPr>
          <w:cantSplit/>
        </w:trPr>
        <w:tc>
          <w:tcPr>
            <w:tcW w:type="dxa" w:w="18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Sparen/Investieren</w:t>
            </w:r>
          </w:p>
        </w:tc>
        <w:tc>
          <w:tcPr>
            <w:tcW w:type="dxa" w:w="44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Ziel, Betrag/Rhythmus, Konto/Assetklasse optional</w:t>
            </w:r>
          </w:p>
        </w:tc>
        <w:tc>
          <w:tcPr>
            <w:tcW w:type="dxa" w:w="35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Separat von Konsumausgaben; im Jahresrest sichtbar</w:t>
            </w:r>
          </w:p>
        </w:tc>
      </w:tr>
    </w:tbl>
    <w:p>
      <w:pPr>
        <w:spacing w:after="20"/>
      </w:pPr>
    </w:p>
    <w:p>
      <w:pPr>
        <w:pStyle w:val="Heading2"/>
      </w:pPr>
      <w:r>
        <w:t>8.1 Excel-Übernahme</w:t>
      </w:r>
    </w:p>
    <w:p>
      <w:pPr>
        <w:pStyle w:val="ListBullet"/>
        <w:keepNext w:val="0"/>
        <w:keepLines w:val="0"/>
        <w:widowControl/>
      </w:pPr>
      <w:r>
        <w:rPr>
          <w:rFonts w:ascii="Aptos" w:hAnsi="Aptos" w:eastAsia="Aptos"/>
          <w:color w:val="1D2939"/>
        </w:rPr>
        <w:t>Die bestehende XLS bleibt Eingabequelle, nicht Berechnungswahrheit.</w:t>
      </w:r>
    </w:p>
    <w:p>
      <w:pPr>
        <w:pStyle w:val="ListBullet"/>
        <w:keepNext w:val="0"/>
        <w:keepLines w:val="0"/>
        <w:widowControl/>
      </w:pPr>
      <w:r>
        <w:rPr>
          <w:rFonts w:ascii="Aptos" w:hAnsi="Aptos" w:eastAsia="Aptos"/>
          <w:color w:val="1D2939"/>
        </w:rPr>
        <w:t>Import zuerst read-only profilieren; Positionen, Rhythmen, Fälligkeiten, Jahreswerte und erkannte Konflikte anzeigen.</w:t>
      </w:r>
    </w:p>
    <w:p>
      <w:pPr>
        <w:pStyle w:val="ListBullet"/>
        <w:keepNext w:val="0"/>
        <w:keepLines w:val="0"/>
        <w:widowControl/>
      </w:pPr>
      <w:r>
        <w:rPr>
          <w:rFonts w:ascii="Aptos" w:hAnsi="Aptos" w:eastAsia="Aptos"/>
          <w:color w:val="1D2939"/>
        </w:rPr>
        <w:t>Vierteljährliche oder jährliche Positionen dürfen nicht über eine Monats-Spalte fälschlich verzwölffacht werden.</w:t>
      </w:r>
    </w:p>
    <w:p>
      <w:pPr>
        <w:pStyle w:val="ListBullet"/>
        <w:keepNext w:val="0"/>
        <w:keepLines w:val="0"/>
        <w:widowControl/>
      </w:pPr>
      <w:r>
        <w:rPr>
          <w:rFonts w:ascii="Aptos" w:hAnsi="Aptos" w:eastAsia="Aptos"/>
          <w:color w:val="1D2939"/>
        </w:rPr>
        <w:t>Unklare Zeilen bleiben als Noch festlegen im Preview und blockieren nur die betroffene Position, nicht den gesamten Assistenten.</w:t>
      </w:r>
    </w:p>
    <w:p>
      <w:pPr>
        <w:pStyle w:val="ListBullet"/>
        <w:keepNext w:val="0"/>
        <w:keepLines w:val="0"/>
        <w:widowControl/>
      </w:pPr>
      <w:r>
        <w:rPr>
          <w:rFonts w:ascii="Aptos" w:hAnsi="Aptos" w:eastAsia="Aptos"/>
          <w:color w:val="1D2939"/>
        </w:rPr>
        <w:t>Produktive Übernahme erst nach ausdrücklichem Confirm; Importdatei und Rohdaten bleiben ausserhalb von Git.</w:t>
      </w:r>
    </w:p>
    <w:p>
      <w:pPr>
        <w:pStyle w:val="Heading1"/>
      </w:pPr>
      <w:r>
        <w:t>9. Plan-, Forecast- und Restbetragslogik</w:t>
      </w:r>
    </w:p>
    <w:tbl>
      <w:tblPr>
        <w:tblW w:type="dxa" w:w="9840"/>
        <w:tblLayout w:type="fixed"/>
        <w:tblLook w:firstColumn="1" w:firstRow="1" w:lastColumn="0" w:lastRow="0" w:noHBand="0" w:noVBand="1" w:val="04A0"/>
        <w:jc w:val="left"/>
        <w:tblInd w:w="100" w:type="dxa"/>
      </w:tblPr>
      <w:tblGrid>
        <w:gridCol w:w="2600"/>
        <w:gridCol w:w="7240"/>
      </w:tblGrid>
      <w:tr>
        <w:trPr>
          <w:trHeight w:hRule="atLeast"/>
          <w:tblHeader w:val="true"/>
        </w:trPr>
        <w:tc>
          <w:tcPr>
            <w:tcW w:type="dxa" w:w="26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Kennzahl</w:t>
            </w:r>
          </w:p>
        </w:tc>
        <w:tc>
          <w:tcPr>
            <w:tcW w:type="dxa" w:w="724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Verbindliche Definition</w:t>
            </w:r>
          </w:p>
        </w:tc>
      </w:tr>
      <w:tr>
        <w:trPr>
          <w:cantSplit/>
        </w:trPr>
        <w:tc>
          <w:tcPr>
            <w:tcW w:type="dxa" w:w="26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Geplanter Jahresüberschuss</w:t>
            </w:r>
          </w:p>
        </w:tc>
        <w:tc>
          <w:tcPr>
            <w:tcW w:type="dxa" w:w="72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Geplante Jahreseinnahmen minus geplante Jahresausgaben.</w:t>
            </w:r>
          </w:p>
        </w:tc>
      </w:tr>
      <w:tr>
        <w:trPr>
          <w:cantSplit/>
        </w:trPr>
        <w:tc>
          <w:tcPr>
            <w:tcW w:type="dxa" w:w="26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Jahresforecast</w:t>
            </w:r>
          </w:p>
        </w:tc>
        <w:tc>
          <w:tcPr>
            <w:tcW w:type="dxa" w:w="72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Ist bis Stichtag plus verbleibende bestätigte Fälligkeiten plus prognostizierte variable Ausgaben plus geplante Einmalbeträge.</w:t>
            </w:r>
          </w:p>
        </w:tc>
      </w:tr>
      <w:tr>
        <w:trPr>
          <w:cantSplit/>
        </w:trPr>
        <w:tc>
          <w:tcPr>
            <w:tcW w:type="dxa" w:w="26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Erwarteter Jahresüberschuss</w:t>
            </w:r>
          </w:p>
        </w:tc>
        <w:tc>
          <w:tcPr>
            <w:tcW w:type="dxa" w:w="72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Prognostizierte Jahreseinnahmen minus prognostizierte Jahresausgaben.</w:t>
            </w:r>
          </w:p>
        </w:tc>
      </w:tr>
      <w:tr>
        <w:trPr>
          <w:cantSplit/>
        </w:trPr>
        <w:tc>
          <w:tcPr>
            <w:tcW w:type="dxa" w:w="26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Abweichung zum Plan</w:t>
            </w:r>
          </w:p>
        </w:tc>
        <w:tc>
          <w:tcPr>
            <w:tcW w:type="dxa" w:w="72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Erwarteter Jahresüberschuss minus geplanter Jahresüberschuss.</w:t>
            </w:r>
          </w:p>
        </w:tc>
      </w:tr>
      <w:tr>
        <w:trPr>
          <w:cantSplit/>
        </w:trPr>
        <w:tc>
          <w:tcPr>
            <w:tcW w:type="dxa" w:w="26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Noch reserviert</w:t>
            </w:r>
          </w:p>
        </w:tc>
        <w:tc>
          <w:tcPr>
            <w:tcW w:type="dxa" w:w="72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Summe der nach Stichtag erwarteten bestätigten Ausgaben, getrennt nach Fixkosten, variabel und Einmalbeträgen.</w:t>
            </w:r>
          </w:p>
        </w:tc>
      </w:tr>
      <w:tr>
        <w:trPr>
          <w:cantSplit/>
        </w:trPr>
        <w:tc>
          <w:tcPr>
            <w:tcW w:type="dxa" w:w="26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Frei / investierbar</w:t>
            </w:r>
          </w:p>
        </w:tc>
        <w:tc>
          <w:tcPr>
            <w:tcW w:type="dxa" w:w="72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Erwarteter Jahresüberschuss abzüglich Sicherheitsreserve und explizit reservierter Spar-/Investitionsziele; nur bei ausreichender Coverage.</w:t>
            </w:r>
          </w:p>
        </w:tc>
      </w:tr>
      <w:tr>
        <w:trPr>
          <w:cantSplit/>
        </w:trPr>
        <w:tc>
          <w:tcPr>
            <w:tcW w:type="dxa" w:w="26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Monatsrückstellung</w:t>
            </w:r>
          </w:p>
        </w:tc>
        <w:tc>
          <w:tcPr>
            <w:tcW w:type="dxa" w:w="72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Jahresbetrag geteilt durch zwölf; keine Behauptung, dass die Zahlung monatlich erfolgt.</w:t>
            </w:r>
          </w:p>
        </w:tc>
      </w:tr>
    </w:tbl>
    <w:p>
      <w:pPr>
        <w:spacing w:after="20"/>
      </w:pP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C53D32"/>
            <w:tcMar>
              <w:top w:w="70" w:type="dxa"/>
              <w:start w:w="100" w:type="dxa"/>
              <w:bottom w:w="70" w:type="dxa"/>
              <w:end w:w="100" w:type="dxa"/>
            </w:tcMar>
            <w:vAlign w:val="center"/>
            <w:tcBorders>
              <w:top w:val="single" w:sz="4" w:color="FCEFED"/>
              <w:left w:val="single" w:sz="4" w:color="FCEFED"/>
              <w:bottom w:val="single" w:sz="4" w:color="FCEFED"/>
              <w:right w:val="single" w:sz="4" w:color="FCEFED"/>
            </w:tcBorders>
          </w:tcPr>
          <w:p/>
        </w:tc>
        <w:tc>
          <w:tcPr>
            <w:tcW w:type="dxa" w:w="9660"/>
            <w:shd w:fill="FCEFED"/>
            <w:tcMar>
              <w:top w:w="120" w:type="dxa"/>
              <w:start w:w="100" w:type="dxa"/>
              <w:bottom w:w="120" w:type="dxa"/>
              <w:end w:w="100" w:type="dxa"/>
            </w:tcMar>
            <w:vAlign w:val="center"/>
            <w:tcBorders>
              <w:top w:val="single" w:sz="4" w:color="FCEFED"/>
              <w:left w:val="single" w:sz="4" w:color="FCEFED"/>
              <w:bottom w:val="single" w:sz="4" w:color="FCEFED"/>
              <w:right w:val="single" w:sz="4" w:color="FCEFED"/>
            </w:tcBorders>
          </w:tcPr>
          <w:p>
            <w:pPr>
              <w:keepNext w:val="0"/>
              <w:keepLines w:val="0"/>
              <w:widowControl/>
              <w:spacing w:after="20"/>
            </w:pPr>
            <w:r>
              <w:rPr>
                <w:rFonts w:ascii="Aptos" w:hAnsi="Aptos" w:eastAsia="Aptos"/>
                <w:b/>
                <w:color w:val="C53D32"/>
                <w:sz w:val="18"/>
              </w:rPr>
              <w:t>Kontrollrechnung aus der bisherigen XLS</w:t>
            </w:r>
            <w:r>
              <w:rPr>
                <w:rFonts w:ascii="Aptos" w:hAnsi="Aptos" w:eastAsia="Aptos"/>
                <w:color w:val="1D2939"/>
                <w:sz w:val="18"/>
              </w:rPr>
              <w:br/>
              <w:t>Geplante Jahresausgaben CHF 114’569.39; geplante Jahreseinnahmen CHF 148’775.40; korrekter Jahresüberschuss CHF 34’206.01; korrekter Monatsdurchschnitt CHF 2’850.50. Die XLS zeigte CHF 1’984.67, weil die vierteljährliche Hypothekenzahlung CHF 1’298.75 wie eine Monatszahlung behandelt wurde. Richtig sind CHF 432.92 Monatsrückstellung.</w:t>
            </w:r>
          </w:p>
        </w:tc>
      </w:tr>
    </w:tbl>
    <w:p>
      <w:pPr>
        <w:spacing w:after="20"/>
      </w:pPr>
    </w:p>
    <w:p>
      <w:pPr>
        <w:pStyle w:val="ListBullet"/>
        <w:keepNext w:val="0"/>
        <w:keepLines w:val="0"/>
        <w:widowControl/>
      </w:pPr>
      <w:r>
        <w:rPr>
          <w:rFonts w:ascii="Aptos" w:hAnsi="Aptos" w:eastAsia="Aptos"/>
          <w:color w:val="1D2939"/>
        </w:rPr>
        <w:t>Plan und Forecast besitzen je einen eigenen Datenstand und eine eigene Herleitung.</w:t>
      </w:r>
    </w:p>
    <w:p>
      <w:pPr>
        <w:pStyle w:val="ListBullet"/>
        <w:keepNext w:val="0"/>
        <w:keepLines w:val="0"/>
        <w:widowControl/>
      </w:pPr>
      <w:r>
        <w:rPr>
          <w:rFonts w:ascii="Aptos" w:hAnsi="Aptos" w:eastAsia="Aptos"/>
          <w:color w:val="1D2939"/>
        </w:rPr>
        <w:t>Offene Dubletten, unvollständige Kartenabrechnungen und fehlende Periodizitäten reduzieren die Prognosequalität sichtbar.</w:t>
      </w:r>
    </w:p>
    <w:p>
      <w:pPr>
        <w:pStyle w:val="ListBullet"/>
        <w:keepNext w:val="0"/>
        <w:keepLines w:val="0"/>
        <w:widowControl/>
      </w:pPr>
      <w:r>
        <w:rPr>
          <w:rFonts w:ascii="Aptos" w:hAnsi="Aptos" w:eastAsia="Aptos"/>
          <w:color w:val="1D2939"/>
        </w:rPr>
        <w:t>Bei unzureichender Coverage wird keine präzise frei-verfügbar-Zahl gezeigt; stattdessen Datenlücken und gegebenenfalls Bandbreite.</w:t>
      </w:r>
    </w:p>
    <w:p>
      <w:pPr>
        <w:pStyle w:val="ListBullet"/>
        <w:keepNext w:val="0"/>
        <w:keepLines w:val="0"/>
        <w:widowControl/>
      </w:pPr>
      <w:r>
        <w:rPr>
          <w:rFonts w:ascii="Aptos" w:hAnsi="Aptos" w:eastAsia="Aptos"/>
          <w:color w:val="1D2939"/>
        </w:rPr>
        <w:t>Monats-Cashflow und Jahresrückstellung werden nebeneinander gezeigt: Liquidität und langfristige Tragbarkeit sind verschiedene Fragen.</w:t>
      </w:r>
    </w:p>
    <w:p>
      <w:pPr>
        <w:pStyle w:val="Heading1"/>
      </w:pPr>
      <w:r>
        <w:t>10. Vereinfachte Seite Budget · Status</w:t>
      </w:r>
    </w:p>
    <w:p>
      <w:pPr>
        <w:keepNext w:val="0"/>
        <w:keepLines w:val="0"/>
        <w:widowControl/>
      </w:pPr>
      <w:r>
        <w:rPr>
          <w:rFonts w:ascii="Aptos" w:hAnsi="Aptos" w:eastAsia="Aptos"/>
          <w:color w:val="1D2939"/>
        </w:rPr>
        <w:t>Die operative Kategorie-Kontrolle bleibt als Detailansicht erhalten. Davor steht eine visuelle, ruhige Zusammenfassung mit klarer Leserichtung.</w:t>
      </w:r>
    </w:p>
    <w:tbl>
      <w:tblPr>
        <w:tblW w:type="dxa" w:w="9840"/>
        <w:tblLayout w:type="fixed"/>
        <w:tblLook w:firstColumn="1" w:firstRow="1" w:lastColumn="0" w:lastRow="0" w:noHBand="0" w:noVBand="1" w:val="04A0"/>
        <w:jc w:val="left"/>
        <w:tblInd w:w="100" w:type="dxa"/>
      </w:tblPr>
      <w:tblGrid>
        <w:gridCol w:w="1600"/>
        <w:gridCol w:w="5180"/>
        <w:gridCol w:w="3060"/>
      </w:tblGrid>
      <w:tr>
        <w:trPr>
          <w:trHeight w:hRule="atLeast"/>
          <w:tblHeader w:val="true"/>
        </w:trPr>
        <w:tc>
          <w:tcPr>
            <w:tcW w:type="dxa" w:w="16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Ebene</w:t>
            </w:r>
          </w:p>
        </w:tc>
        <w:tc>
          <w:tcPr>
            <w:tcW w:type="dxa" w:w="518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Verbindlicher Inhalt</w:t>
            </w:r>
          </w:p>
        </w:tc>
        <w:tc>
          <w:tcPr>
            <w:tcW w:type="dxa" w:w="306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Darstellung</w:t>
            </w:r>
          </w:p>
        </w:tc>
      </w:tr>
      <w:tr>
        <w:trPr>
          <w:cantSplit/>
        </w:trPr>
        <w:tc>
          <w:tcPr>
            <w:tcW w:type="dxa" w:w="16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Jahreslage</w:t>
            </w:r>
          </w:p>
        </w:tc>
        <w:tc>
          <w:tcPr>
            <w:tcW w:type="dxa" w:w="518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Plan-Einnahmen, Plan-Ausgaben, Plan-Überschuss; Forecast-Einnahmen, Forecast-Ausgaben, erwarteter Überschuss.</w:t>
            </w:r>
          </w:p>
        </w:tc>
        <w:tc>
          <w:tcPr>
            <w:tcW w:type="dxa" w:w="306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Zwei klar getrennte Zeilen/Karten; keine zehn gleichrangigen Spalten.</w:t>
            </w:r>
          </w:p>
        </w:tc>
      </w:tr>
      <w:tr>
        <w:trPr>
          <w:cantSplit/>
        </w:trPr>
        <w:tc>
          <w:tcPr>
            <w:tcW w:type="dxa" w:w="16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Farbsemantik</w:t>
            </w:r>
          </w:p>
        </w:tc>
        <w:tc>
          <w:tcPr>
            <w:tcW w:type="dxa" w:w="518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Einnahmen grün, Ausgaben rot, Transfers neutral; Budgetstatus separat als im Plan, Risiko oder überschritten.</w:t>
            </w:r>
          </w:p>
        </w:tc>
        <w:tc>
          <w:tcPr>
            <w:tcW w:type="dxa" w:w="306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Farbe plus Text, Icon und Vorzeichen; barrierefrei.</w:t>
            </w:r>
          </w:p>
        </w:tc>
      </w:tr>
      <w:tr>
        <w:trPr>
          <w:cantSplit/>
        </w:trPr>
        <w:tc>
          <w:tcPr>
            <w:tcW w:type="dxa" w:w="16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Kategorien</w:t>
            </w:r>
          </w:p>
        </w:tc>
        <w:tc>
          <w:tcPr>
            <w:tcW w:type="dxa" w:w="518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Top-Ausgabenkategorien, Budgetverbrauch, Forecast und Abweichung; Einnahmen separat.</w:t>
            </w:r>
          </w:p>
        </w:tc>
        <w:tc>
          <w:tcPr>
            <w:tcW w:type="dxa" w:w="306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Rangierte Balken; Klick öffnet Monatsdiagramm und Buchungen.</w:t>
            </w:r>
          </w:p>
        </w:tc>
      </w:tr>
      <w:tr>
        <w:trPr>
          <w:cantSplit/>
        </w:trPr>
        <w:tc>
          <w:tcPr>
            <w:tcW w:type="dxa" w:w="16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Zeit</w:t>
            </w:r>
          </w:p>
        </w:tc>
        <w:tc>
          <w:tcPr>
            <w:tcW w:type="dxa" w:w="518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Ist bis heute, noch reserviert und erwarteter Jahresendwert.</w:t>
            </w:r>
          </w:p>
        </w:tc>
        <w:tc>
          <w:tcPr>
            <w:tcW w:type="dxa" w:w="306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Verlauf beziehungsweise gestapelte Planung mit klarer Legende.</w:t>
            </w:r>
          </w:p>
        </w:tc>
      </w:tr>
      <w:tr>
        <w:trPr>
          <w:cantSplit/>
        </w:trPr>
        <w:tc>
          <w:tcPr>
            <w:tcW w:type="dxa" w:w="16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Datenqualität</w:t>
            </w:r>
          </w:p>
        </w:tc>
        <w:tc>
          <w:tcPr>
            <w:tcW w:type="dxa" w:w="518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Nicht budgetierte Ausgaben, offene Kandidaten, Dubletten und unvollständige Quellen.</w:t>
            </w:r>
          </w:p>
        </w:tc>
        <w:tc>
          <w:tcPr>
            <w:tcW w:type="dxa" w:w="306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Eine kompakte Erklärung mit Links zur Behebung; kein technischer Code.</w:t>
            </w:r>
          </w:p>
        </w:tc>
      </w:tr>
    </w:tbl>
    <w:p>
      <w:pPr>
        <w:spacing w:after="20"/>
      </w:pPr>
    </w:p>
    <w:p>
      <w:pPr>
        <w:pStyle w:val="ListBullet"/>
        <w:keepNext w:val="0"/>
        <w:keepLines w:val="0"/>
        <w:widowControl/>
      </w:pPr>
      <w:r>
        <w:rPr>
          <w:rFonts w:ascii="Aptos" w:hAnsi="Aptos" w:eastAsia="Aptos"/>
          <w:color w:val="1D2939"/>
        </w:rPr>
        <w:t>Standardansicht zeigt höchstens sechs zentrale Kennzahlen und drei bis fünf relevante Hinweise.</w:t>
      </w:r>
    </w:p>
    <w:p>
      <w:pPr>
        <w:pStyle w:val="ListBullet"/>
        <w:keepNext w:val="0"/>
        <w:keepLines w:val="0"/>
        <w:widowControl/>
      </w:pPr>
      <w:r>
        <w:rPr>
          <w:rFonts w:ascii="Aptos" w:hAnsi="Aptos" w:eastAsia="Aptos"/>
          <w:color w:val="1D2939"/>
        </w:rPr>
        <w:t>Kategorie-Drill-down zeigt Budget, Ist, Forecast, Abweichung, Monatsdiagramm und gefilterte Buchungen.</w:t>
      </w:r>
    </w:p>
    <w:p>
      <w:pPr>
        <w:pStyle w:val="ListBullet"/>
        <w:keepNext w:val="0"/>
        <w:keepLines w:val="0"/>
        <w:widowControl/>
      </w:pPr>
      <w:r>
        <w:rPr>
          <w:rFonts w:ascii="Aptos" w:hAnsi="Aptos" w:eastAsia="Aptos"/>
          <w:color w:val="1D2939"/>
        </w:rPr>
        <w:t>Nicht budgetiert ist ein eigener Zustand; niemals ein implizites Budget von CHF 0.</w:t>
      </w:r>
    </w:p>
    <w:p>
      <w:pPr>
        <w:pStyle w:val="ListBullet"/>
        <w:keepNext w:val="0"/>
        <w:keepLines w:val="0"/>
        <w:widowControl/>
      </w:pPr>
      <w:r>
        <w:rPr>
          <w:rFonts w:ascii="Aptos" w:hAnsi="Aptos" w:eastAsia="Aptos"/>
          <w:color w:val="1D2939"/>
        </w:rPr>
        <w:t>Technische Felder und Roh-Confidence bleiben unter Daten &amp; Diagnose.</w:t>
      </w:r>
    </w:p>
    <w:p>
      <w:pPr>
        <w:pStyle w:val="Heading1"/>
      </w:pPr>
      <w:r>
        <w:t>11. Heute-Seite und Systemgrenze</w:t>
      </w: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0788A5"/>
            <w:tcMar>
              <w:top w:w="70" w:type="dxa"/>
              <w:start w:w="100" w:type="dxa"/>
              <w:bottom w:w="70" w:type="dxa"/>
              <w:end w:w="100" w:type="dxa"/>
            </w:tcMar>
            <w:vAlign w:val="center"/>
            <w:tcBorders>
              <w:top w:val="single" w:sz="4" w:color="E9F8FA"/>
              <w:left w:val="single" w:sz="4" w:color="E9F8FA"/>
              <w:bottom w:val="single" w:sz="4" w:color="E9F8FA"/>
              <w:right w:val="single" w:sz="4" w:color="E9F8FA"/>
            </w:tcBorders>
          </w:tcPr>
          <w:p/>
        </w:tc>
        <w:tc>
          <w:tcPr>
            <w:tcW w:type="dxa" w:w="9660"/>
            <w:shd w:fill="E9F8FA"/>
            <w:tcMar>
              <w:top w:w="120" w:type="dxa"/>
              <w:start w:w="100" w:type="dxa"/>
              <w:bottom w:w="120" w:type="dxa"/>
              <w:end w:w="100" w:type="dxa"/>
            </w:tcMar>
            <w:vAlign w:val="center"/>
            <w:tcBorders>
              <w:top w:val="single" w:sz="4" w:color="E9F8FA"/>
              <w:left w:val="single" w:sz="4" w:color="E9F8FA"/>
              <w:bottom w:val="single" w:sz="4" w:color="E9F8FA"/>
              <w:right w:val="single" w:sz="4" w:color="E9F8FA"/>
            </w:tcBorders>
          </w:tcPr>
          <w:p>
            <w:pPr>
              <w:keepNext w:val="0"/>
              <w:keepLines w:val="0"/>
              <w:widowControl/>
              <w:spacing w:after="20"/>
            </w:pPr>
            <w:r>
              <w:rPr>
                <w:rFonts w:ascii="Aptos" w:hAnsi="Aptos" w:eastAsia="Aptos"/>
                <w:b/>
                <w:color w:val="0788A5"/>
                <w:sz w:val="18"/>
              </w:rPr>
              <w:t>Today-Lite bleibt bestehen.</w:t>
            </w:r>
            <w:r>
              <w:rPr>
                <w:rFonts w:ascii="Aptos" w:hAnsi="Aptos" w:eastAsia="Aptos"/>
                <w:color w:val="1D2939"/>
                <w:sz w:val="18"/>
              </w:rPr>
              <w:br/>
              <w:t>Sprint 17C hat die akute Überladung bereits behoben. Sprint 17D ergänzt nur belastbare Budget- und Forecastaussagen sowie direkte Zielseiten. Der vollständige visuelle Feinschliff bleibt Sprint 20.</w:t>
            </w:r>
          </w:p>
        </w:tc>
      </w:tr>
    </w:tbl>
    <w:p>
      <w:pPr>
        <w:spacing w:after="20"/>
      </w:pPr>
    </w:p>
    <w:tbl>
      <w:tblPr>
        <w:tblW w:type="dxa" w:w="9840"/>
        <w:tblLayout w:type="fixed"/>
        <w:tblLook w:firstColumn="1" w:firstRow="1" w:lastColumn="0" w:lastRow="0" w:noHBand="0" w:noVBand="1" w:val="04A0"/>
        <w:jc w:val="left"/>
        <w:tblInd w:w="100" w:type="dxa"/>
      </w:tblPr>
      <w:tblGrid>
        <w:gridCol w:w="4920"/>
        <w:gridCol w:w="4920"/>
      </w:tblGrid>
      <w:tr>
        <w:trPr>
          <w:trHeight w:hRule="atLeast"/>
          <w:tblHeader w:val="true"/>
        </w:trPr>
        <w:tc>
          <w:tcPr>
            <w:tcW w:type="dxa" w:w="492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Heute zeigt</w:t>
            </w:r>
          </w:p>
        </w:tc>
        <w:tc>
          <w:tcPr>
            <w:tcW w:type="dxa" w:w="492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Heute zeigt nicht</w:t>
            </w:r>
          </w:p>
        </w:tc>
      </w:tr>
      <w:tr>
        <w:trPr>
          <w:cantSplit/>
        </w:trPr>
        <w:tc>
          <w:tcPr>
            <w:tcW w:type="dxa" w:w="49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Gesamtvermögen, Monatslage, Budgetlage und offene Entscheidungen.</w:t>
            </w:r>
          </w:p>
        </w:tc>
        <w:tc>
          <w:tcPr>
            <w:tcW w:type="dxa" w:w="49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Einzelne Abo-Warnungen ohne Priorisierung.</w:t>
            </w:r>
          </w:p>
        </w:tc>
      </w:tr>
      <w:tr>
        <w:trPr>
          <w:cantSplit/>
        </w:trPr>
        <w:tc>
          <w:tcPr>
            <w:tcW w:type="dxa" w:w="49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Höchstens fünf tatsächlich ausführbare Aufgaben mit direktem Link.</w:t>
            </w:r>
          </w:p>
        </w:tc>
        <w:tc>
          <w:tcPr>
            <w:tcW w:type="dxa" w:w="49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FastAPI-, Runtime-, Provider- oder Datenbankdetails im Vordergrund.</w:t>
            </w:r>
          </w:p>
        </w:tc>
      </w:tr>
      <w:tr>
        <w:trPr>
          <w:cantSplit/>
        </w:trPr>
        <w:tc>
          <w:tcPr>
            <w:tcW w:type="dxa" w:w="49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Erwarteter Jahresüberschuss nur bei ausreichender Datenbasis.</w:t>
            </w:r>
          </w:p>
        </w:tc>
        <w:tc>
          <w:tcPr>
            <w:tcW w:type="dxa" w:w="49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Nullwerte oder Scheingenauigkeit ohne Erklärung.</w:t>
            </w:r>
          </w:p>
        </w:tc>
      </w:tr>
      <w:tr>
        <w:trPr>
          <w:cantSplit/>
        </w:trPr>
        <w:tc>
          <w:tcPr>
            <w:tcW w:type="dxa" w:w="49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Eine zusammengefasste Aufgabe wie 3 laufende Zahlungen prüfen.</w:t>
            </w:r>
          </w:p>
        </w:tc>
        <w:tc>
          <w:tcPr>
            <w:tcW w:type="dxa" w:w="49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Mehrere Meldungen Zahlung fehlt/Betrag verändert für denselben Vertrag.</w:t>
            </w:r>
          </w:p>
        </w:tc>
      </w:tr>
    </w:tbl>
    <w:p>
      <w:pPr>
        <w:spacing w:after="20"/>
      </w:pPr>
    </w:p>
    <w:p>
      <w:pPr>
        <w:keepNext w:val="0"/>
        <w:keepLines w:val="0"/>
        <w:widowControl/>
      </w:pPr>
      <w:r>
        <w:rPr>
          <w:rFonts w:ascii="Aptos" w:hAnsi="Aptos" w:eastAsia="Aptos"/>
          <w:color w:val="1D2939"/>
        </w:rPr>
        <w:t>Die beigefügten JARVIS-Command-Unterlagen bestätigen die Systemgrenze: Das globale Dashboard ist read-only-first, zeigt höchstens wenige sanitierte KPIs beziehungsweise Attention-Counts und verlinkt in den FinanceManager. Es kopiert keine Händler-, Kategorie-, Budget- oder Vermögensdetails in eine zweite Oberfläche.</w:t>
      </w:r>
    </w:p>
    <w:p>
      <w:pPr>
        <w:pStyle w:val="Heading1"/>
      </w:pPr>
      <w:r>
        <w:t>12. Datenwahrheit vor produktiver Budgetübernahme</w:t>
      </w:r>
    </w:p>
    <w:tbl>
      <w:tblPr>
        <w:tblW w:type="dxa" w:w="9840"/>
        <w:tblLayout w:type="fixed"/>
        <w:tblLook w:firstColumn="1" w:firstRow="1" w:lastColumn="0" w:lastRow="0" w:noHBand="0" w:noVBand="1" w:val="04A0"/>
        <w:jc w:val="left"/>
        <w:tblInd w:w="100" w:type="dxa"/>
      </w:tblPr>
      <w:tblGrid>
        <w:gridCol w:w="2050"/>
        <w:gridCol w:w="3430"/>
        <w:gridCol w:w="4360"/>
      </w:tblGrid>
      <w:tr>
        <w:trPr>
          <w:trHeight w:hRule="atLeast"/>
          <w:tblHeader w:val="true"/>
        </w:trPr>
        <w:tc>
          <w:tcPr>
            <w:tcW w:type="dxa" w:w="20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Offener Fall</w:t>
            </w:r>
          </w:p>
        </w:tc>
        <w:tc>
          <w:tcPr>
            <w:tcW w:type="dxa" w:w="343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Finanzwirkung heute</w:t>
            </w:r>
          </w:p>
        </w:tc>
        <w:tc>
          <w:tcPr>
            <w:tcW w:type="dxa" w:w="436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Verbindlicher Umgang</w:t>
            </w:r>
          </w:p>
        </w:tc>
      </w:tr>
      <w:tr>
        <w:trPr>
          <w:cantSplit/>
        </w:trPr>
        <w:tc>
          <w:tcPr>
            <w:tcW w:type="dxa" w:w="20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Apple 12.05.2026</w:t>
            </w:r>
          </w:p>
        </w:tc>
        <w:tc>
          <w:tcPr>
            <w:tcW w:type="dxa" w:w="343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CHF 60.00 statt CHF 20.00; zwei vorbereitete Legacy-Dubletten.</w:t>
            </w:r>
          </w:p>
        </w:tc>
        <w:tc>
          <w:tcPr>
            <w:tcW w:type="dxa" w:w="436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Nur Marcel bestätigt die zwei exakten Previews. Bis dahin Forecastqualität als eingeschränkt markieren.</w:t>
            </w:r>
          </w:p>
        </w:tc>
      </w:tr>
      <w:tr>
        <w:trPr>
          <w:cantSplit/>
        </w:trPr>
        <w:tc>
          <w:tcPr>
            <w:tcW w:type="dxa" w:w="20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Netflix 09.05.2026</w:t>
            </w:r>
          </w:p>
        </w:tc>
        <w:tc>
          <w:tcPr>
            <w:tcW w:type="dxa" w:w="343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CHF 91.60 statt CHF 22.90; drei vorbereitete Legacy-Dubletten.</w:t>
            </w:r>
          </w:p>
        </w:tc>
        <w:tc>
          <w:tcPr>
            <w:tcW w:type="dxa" w:w="436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Nur Marcel bestätigt die drei exakten Previews. Keine Löschung; duplicate_of plus Audit.</w:t>
            </w:r>
          </w:p>
        </w:tc>
      </w:tr>
      <w:tr>
        <w:trPr>
          <w:cantSplit/>
        </w:trPr>
        <w:tc>
          <w:tcPr>
            <w:tcW w:type="dxa" w:w="20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VISECA 20.07.2026</w:t>
            </w:r>
          </w:p>
        </w:tc>
        <w:tc>
          <w:tcPr>
            <w:tcW w:type="dxa" w:w="343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Bankzahlung CHF 3’238.20 neutral; gefundene Käufe CHF 4’348.40; Differenz CHF 1’110.20.</w:t>
            </w:r>
          </w:p>
        </w:tc>
        <w:tc>
          <w:tcPr>
            <w:tcW w:type="dxa" w:w="436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Ausgleich nie als Ausgabe. Restdifferenz und fehlende Abrechnungsdaten bleiben sichtbar; kein vollständiger Status.</w:t>
            </w:r>
          </w:p>
        </w:tc>
      </w:tr>
    </w:tbl>
    <w:p>
      <w:pPr>
        <w:spacing w:after="20"/>
      </w:pP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B86A00"/>
            <w:tcMar>
              <w:top w:w="70" w:type="dxa"/>
              <w:start w:w="100" w:type="dxa"/>
              <w:bottom w:w="70" w:type="dxa"/>
              <w:end w:w="100" w:type="dxa"/>
            </w:tcMar>
            <w:vAlign w:val="center"/>
            <w:tcBorders>
              <w:top w:val="single" w:sz="4" w:color="FFF5E6"/>
              <w:left w:val="single" w:sz="4" w:color="FFF5E6"/>
              <w:bottom w:val="single" w:sz="4" w:color="FFF5E6"/>
              <w:right w:val="single" w:sz="4" w:color="FFF5E6"/>
            </w:tcBorders>
          </w:tcPr>
          <w:p/>
        </w:tc>
        <w:tc>
          <w:tcPr>
            <w:tcW w:type="dxa" w:w="9660"/>
            <w:shd w:fill="FFF5E6"/>
            <w:tcMar>
              <w:top w:w="120" w:type="dxa"/>
              <w:start w:w="100" w:type="dxa"/>
              <w:bottom w:w="120" w:type="dxa"/>
              <w:end w:w="100" w:type="dxa"/>
            </w:tcMar>
            <w:vAlign w:val="center"/>
            <w:tcBorders>
              <w:top w:val="single" w:sz="4" w:color="FFF5E6"/>
              <w:left w:val="single" w:sz="4" w:color="FFF5E6"/>
              <w:bottom w:val="single" w:sz="4" w:color="FFF5E6"/>
              <w:right w:val="single" w:sz="4" w:color="FFF5E6"/>
            </w:tcBorders>
          </w:tcPr>
          <w:p>
            <w:pPr>
              <w:keepNext w:val="0"/>
              <w:keepLines w:val="0"/>
              <w:widowControl/>
              <w:spacing w:after="20"/>
            </w:pPr>
            <w:r>
              <w:rPr>
                <w:rFonts w:ascii="Aptos" w:hAnsi="Aptos" w:eastAsia="Aptos"/>
                <w:b/>
                <w:color w:val="B86A00"/>
                <w:sz w:val="18"/>
              </w:rPr>
              <w:t>Budget-Seed-Gate</w:t>
            </w:r>
            <w:r>
              <w:rPr>
                <w:rFonts w:ascii="Aptos" w:hAnsi="Aptos" w:eastAsia="Aptos"/>
                <w:color w:val="1D2939"/>
                <w:sz w:val="18"/>
              </w:rPr>
              <w:br/>
              <w:t>Sprint 17D darf entwickelt und deployt werden. Eine produktive Initialisierung aus historischen Ist-Daten wird aber nur per Preview vorbereitet. Offene Dubletten und unvollständige Kreditkartenabrechnungen müssen in der Preview als Datenlücken ausgewiesen werden.</w:t>
            </w:r>
          </w:p>
        </w:tc>
      </w:tr>
    </w:tbl>
    <w:p>
      <w:pPr>
        <w:spacing w:after="20"/>
      </w:pPr>
    </w:p>
    <w:p>
      <w:pPr>
        <w:pStyle w:val="Heading1"/>
      </w:pPr>
      <w:r>
        <w:t>13. Revidierte Roadmap</w:t>
      </w:r>
    </w:p>
    <w:tbl>
      <w:tblPr>
        <w:tblW w:type="dxa" w:w="9840"/>
        <w:tblLayout w:type="fixed"/>
        <w:tblLook w:firstColumn="1" w:firstRow="1" w:lastColumn="0" w:lastRow="0" w:noHBand="0" w:noVBand="1" w:val="04A0"/>
        <w:jc w:val="left"/>
        <w:tblInd w:w="100" w:type="dxa"/>
      </w:tblPr>
      <w:tblGrid>
        <w:gridCol w:w="1500"/>
        <w:gridCol w:w="3220"/>
        <w:gridCol w:w="5120"/>
      </w:tblGrid>
      <w:tr>
        <w:trPr>
          <w:trHeight w:hRule="atLeast"/>
          <w:tblHeader w:val="true"/>
        </w:trPr>
        <w:tc>
          <w:tcPr>
            <w:tcW w:type="dxa" w:w="15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Sprint</w:t>
            </w:r>
          </w:p>
        </w:tc>
        <w:tc>
          <w:tcPr>
            <w:tcW w:type="dxa" w:w="322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Schwerpunkt</w:t>
            </w:r>
          </w:p>
        </w:tc>
        <w:tc>
          <w:tcPr>
            <w:tcW w:type="dxa" w:w="512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Nutzerergebnis / Stop-Gate</w:t>
            </w:r>
          </w:p>
        </w:tc>
      </w:tr>
      <w:tr>
        <w:trPr>
          <w:cantSplit/>
        </w:trPr>
        <w:tc>
          <w:tcPr>
            <w:tcW w:type="dxa" w:w="15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17D - als Nächstes</w:t>
            </w:r>
          </w:p>
        </w:tc>
        <w:tc>
          <w:tcPr>
            <w:tcW w:type="dxa" w:w="32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Jahresbudgetassistent + Recurring Semantic Hardening</w:t>
            </w:r>
          </w:p>
        </w:tc>
        <w:tc>
          <w:tcPr>
            <w:tcW w:type="dxa" w:w="51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Planjahr mit Einnahmen, Ausgaben, Rhythmen, XLS-Preview, Jahresüberschuss; editierbare Kandidaten; verständliche Hinweise; vereinfachter Budgetstatus.</w:t>
            </w:r>
          </w:p>
        </w:tc>
      </w:tr>
      <w:tr>
        <w:trPr>
          <w:cantSplit/>
        </w:trPr>
        <w:tc>
          <w:tcPr>
            <w:tcW w:type="dxa" w:w="15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17E</w:t>
            </w:r>
          </w:p>
        </w:tc>
        <w:tc>
          <w:tcPr>
            <w:tcW w:type="dxa" w:w="32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Forecast und Monatsabschluss v1</w:t>
            </w:r>
          </w:p>
        </w:tc>
        <w:tc>
          <w:tcPr>
            <w:tcW w:type="dxa" w:w="51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Belastbarer Jahresend-Forecast, Abweichungserklärung, offene Datenlücken und kurzer ausnahmebasierter Monatsabschluss.</w:t>
            </w:r>
          </w:p>
        </w:tc>
      </w:tr>
      <w:tr>
        <w:trPr>
          <w:cantSplit/>
        </w:trPr>
        <w:tc>
          <w:tcPr>
            <w:tcW w:type="dxa" w:w="15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18</w:t>
            </w:r>
          </w:p>
        </w:tc>
        <w:tc>
          <w:tcPr>
            <w:tcW w:type="dxa" w:w="32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Vermögens-Cockpit und Performance</w:t>
            </w:r>
          </w:p>
        </w:tc>
        <w:tc>
          <w:tcPr>
            <w:tcW w:type="dxa" w:w="51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Gesamtvermögen, Ein-/Auszahlungen, Wertveränderung und TWR/XIRR klar getrennt.</w:t>
            </w:r>
          </w:p>
        </w:tc>
      </w:tr>
      <w:tr>
        <w:trPr>
          <w:cantSplit/>
        </w:trPr>
        <w:tc>
          <w:tcPr>
            <w:tcW w:type="dxa" w:w="15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19</w:t>
            </w:r>
          </w:p>
        </w:tc>
        <w:tc>
          <w:tcPr>
            <w:tcW w:type="dxa" w:w="32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Research und Assetentscheidungen</w:t>
            </w:r>
          </w:p>
        </w:tc>
        <w:tc>
          <w:tcPr>
            <w:tcW w:type="dxa" w:w="512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Halten/Erhöhen/Reduzieren/Abwarten mit These, Risiken, Quellen und Portfolio-Fit.</w:t>
            </w:r>
          </w:p>
        </w:tc>
      </w:tr>
      <w:tr>
        <w:trPr>
          <w:cantSplit/>
        </w:trPr>
        <w:tc>
          <w:tcPr>
            <w:tcW w:type="dxa" w:w="15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20</w:t>
            </w:r>
          </w:p>
        </w:tc>
        <w:tc>
          <w:tcPr>
            <w:tcW w:type="dxa" w:w="32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Heute-Cockpit und geräteübergreifender Feinschliff</w:t>
            </w:r>
          </w:p>
        </w:tc>
        <w:tc>
          <w:tcPr>
            <w:tcW w:type="dxa" w:w="512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Ruhiger Startpunkt mit höchstens fünf wirklich relevanten Aufgaben und konsistenter Mobile-/iPad-UX.</w:t>
            </w:r>
          </w:p>
        </w:tc>
      </w:tr>
    </w:tbl>
    <w:p>
      <w:pPr>
        <w:spacing w:after="20"/>
      </w:pPr>
    </w:p>
    <w:p>
      <w:pPr>
        <w:pStyle w:val="Heading1"/>
      </w:pPr>
      <w:r>
        <w:t>14. Verbindlicher Sprint-17D-Umfang</w:t>
      </w:r>
    </w:p>
    <w:p>
      <w:pPr>
        <w:pStyle w:val="ListBullet"/>
        <w:keepNext w:val="0"/>
        <w:keepLines w:val="0"/>
        <w:widowControl/>
      </w:pPr>
      <w:r>
        <w:rPr>
          <w:rFonts w:ascii="Aptos" w:hAnsi="Aptos" w:eastAsia="Aptos"/>
          <w:color w:val="1D2939"/>
        </w:rPr>
        <w:t>Jahresbudgetassistent für neues Planjahr: Einnahmen, Fixkosten/Abos, variable Kategorien, Einmalbeträge, Sparen/Investieren.</w:t>
      </w:r>
    </w:p>
    <w:p>
      <w:pPr>
        <w:pStyle w:val="ListBullet"/>
        <w:keepNext w:val="0"/>
        <w:keepLines w:val="0"/>
        <w:widowControl/>
      </w:pPr>
      <w:r>
        <w:rPr>
          <w:rFonts w:ascii="Aptos" w:hAnsi="Aptos" w:eastAsia="Aptos"/>
          <w:color w:val="1D2939"/>
        </w:rPr>
        <w:t>Planpositionen mit Betrag pro Zahlung, Rhythmus, Fälligkeiten, Jahresbetrag, Monatsrückstellung, Berechnungsbasis und manueller Übersteuerung.</w:t>
      </w:r>
    </w:p>
    <w:p>
      <w:pPr>
        <w:pStyle w:val="ListBullet"/>
        <w:keepNext w:val="0"/>
        <w:keepLines w:val="0"/>
        <w:widowControl/>
      </w:pPr>
      <w:r>
        <w:rPr>
          <w:rFonts w:ascii="Aptos" w:hAnsi="Aptos" w:eastAsia="Aptos"/>
          <w:color w:val="1D2939"/>
        </w:rPr>
        <w:t>Kandidaten-Preview mit editierbarem Typ, Kategorie, Betrag, Rhythmus und nächster Fälligkeit; Confirm speichert die Nutzerwahl.</w:t>
      </w:r>
    </w:p>
    <w:p>
      <w:pPr>
        <w:pStyle w:val="ListBullet"/>
        <w:keepNext w:val="0"/>
        <w:keepLines w:val="0"/>
        <w:widowControl/>
      </w:pPr>
      <w:r>
        <w:rPr>
          <w:rFonts w:ascii="Aptos" w:hAnsi="Aptos" w:eastAsia="Aptos"/>
          <w:color w:val="1D2939"/>
        </w:rPr>
        <w:t>Konservative Erkennung: eine Beobachtung beweist keine Periodizität; Autobahnvignette 2026 niemals monatlich ausgeben.</w:t>
      </w:r>
    </w:p>
    <w:p>
      <w:pPr>
        <w:pStyle w:val="ListBullet"/>
        <w:keepNext w:val="0"/>
        <w:keepLines w:val="0"/>
        <w:widowControl/>
      </w:pPr>
      <w:r>
        <w:rPr>
          <w:rFonts w:ascii="Aptos" w:hAnsi="Aptos" w:eastAsia="Aptos"/>
          <w:color w:val="1D2939"/>
        </w:rPr>
        <w:t>Warnungen pro Vertrag bündeln und in Alltagssprache mit Datenstand, Wirkung und Aktion erklären.</w:t>
      </w:r>
    </w:p>
    <w:p>
      <w:pPr>
        <w:pStyle w:val="ListBullet"/>
        <w:keepNext w:val="0"/>
        <w:keepLines w:val="0"/>
        <w:widowControl/>
      </w:pPr>
      <w:r>
        <w:rPr>
          <w:rFonts w:ascii="Aptos" w:hAnsi="Aptos" w:eastAsia="Aptos"/>
          <w:color w:val="1D2939"/>
        </w:rPr>
        <w:t>Budgetstatus visuell vereinfachen; Einnahmen grün und Ausgaben rot, jeweils mit zusätzlicher Text-/Icon-Semantik.</w:t>
      </w:r>
    </w:p>
    <w:p>
      <w:pPr>
        <w:pStyle w:val="ListBullet"/>
        <w:keepNext w:val="0"/>
        <w:keepLines w:val="0"/>
        <w:widowControl/>
      </w:pPr>
      <w:r>
        <w:rPr>
          <w:rFonts w:ascii="Aptos" w:hAnsi="Aptos" w:eastAsia="Aptos"/>
          <w:color w:val="1D2939"/>
        </w:rPr>
        <w:t>Plan, Ist und Forecast getrennt; geplanter und erwarteter Jahresüberschuss, Abweichung, noch reserviert und Prognosequalität.</w:t>
      </w:r>
    </w:p>
    <w:p>
      <w:pPr>
        <w:pStyle w:val="ListBullet"/>
        <w:keepNext w:val="0"/>
        <w:keepLines w:val="0"/>
        <w:widowControl/>
      </w:pPr>
      <w:r>
        <w:rPr>
          <w:rFonts w:ascii="Aptos" w:hAnsi="Aptos" w:eastAsia="Aptos"/>
          <w:color w:val="1D2939"/>
        </w:rPr>
        <w:t>Excel-Übernahme als read-only Profiling und Preview; keine produktive Übernahme ohne ausdrückliches Confirm.</w:t>
      </w:r>
    </w:p>
    <w:p>
      <w:pPr>
        <w:pStyle w:val="ListBullet"/>
        <w:keepNext w:val="0"/>
        <w:keepLines w:val="0"/>
        <w:widowControl/>
      </w:pPr>
      <w:r>
        <w:rPr>
          <w:rFonts w:ascii="Aptos" w:hAnsi="Aptos" w:eastAsia="Aptos"/>
          <w:color w:val="1D2939"/>
        </w:rPr>
        <w:t>Preview -&gt; Confirm -&gt; Audit, unveränderliche Versionen, Idempotenz und Datenversion für alle produktiven Planänderungen.</w:t>
      </w:r>
    </w:p>
    <w:p>
      <w:pPr>
        <w:pStyle w:val="ListBullet"/>
        <w:keepNext w:val="0"/>
        <w:keepLines w:val="0"/>
        <w:widowControl/>
      </w:pPr>
      <w:r>
        <w:rPr>
          <w:rFonts w:ascii="Aptos" w:hAnsi="Aptos" w:eastAsia="Aptos"/>
          <w:color w:val="1D2939"/>
        </w:rPr>
        <w:t>Desktop 1440, iPad 820 und Mobile 390 ohne Overflow und mit mindestens 44-px-Touchzielen.</w:t>
      </w:r>
    </w:p>
    <w:p>
      <w:pPr>
        <w:pStyle w:val="Heading2"/>
      </w:pPr>
      <w:r>
        <w:t>14.1 Abnahmekriterien</w:t>
      </w:r>
    </w:p>
    <w:tbl>
      <w:tblPr>
        <w:tblW w:type="dxa" w:w="9840"/>
        <w:tblLayout w:type="fixed"/>
        <w:tblLook w:firstColumn="1" w:firstRow="1" w:lastColumn="0" w:lastRow="0" w:noHBand="0" w:noVBand="1" w:val="04A0"/>
        <w:jc w:val="left"/>
        <w:tblInd w:w="100" w:type="dxa"/>
      </w:tblPr>
      <w:tblGrid>
        <w:gridCol w:w="2050"/>
        <w:gridCol w:w="7790"/>
      </w:tblGrid>
      <w:tr>
        <w:trPr>
          <w:trHeight w:hRule="atLeast"/>
          <w:tblHeader w:val="true"/>
        </w:trPr>
        <w:tc>
          <w:tcPr>
            <w:tcW w:type="dxa" w:w="20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Gate</w:t>
            </w:r>
          </w:p>
        </w:tc>
        <w:tc>
          <w:tcPr>
            <w:tcW w:type="dxa" w:w="779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Verbindliche Abnahme</w:t>
            </w:r>
          </w:p>
        </w:tc>
      </w:tr>
      <w:tr>
        <w:trPr>
          <w:cantSplit/>
        </w:trPr>
        <w:tc>
          <w:tcPr>
            <w:tcW w:type="dxa" w:w="20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Periodizität</w:t>
            </w:r>
          </w:p>
        </w:tc>
        <w:tc>
          <w:tcPr>
            <w:tcW w:type="dxa" w:w="77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Wöchentlich, monatlich, viertel-/halbjährlich, jährlich, einmalig, unregelmässig und frei geplant sind modelliert; Auswahl vor Confirm möglich.</w:t>
            </w:r>
          </w:p>
        </w:tc>
      </w:tr>
      <w:tr>
        <w:trPr>
          <w:cantSplit/>
        </w:trPr>
        <w:tc>
          <w:tcPr>
            <w:tcW w:type="dxa" w:w="20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Einzelbeobachtung</w:t>
            </w:r>
          </w:p>
        </w:tc>
        <w:tc>
          <w:tcPr>
            <w:tcW w:type="dxa" w:w="77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Eine einzelne Buchung kann nicht allein monatlich werden; Golden Test Autobahnvignette 2026.</w:t>
            </w:r>
          </w:p>
        </w:tc>
      </w:tr>
      <w:tr>
        <w:trPr>
          <w:cantSplit/>
        </w:trPr>
        <w:tc>
          <w:tcPr>
            <w:tcW w:type="dxa" w:w="20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Berechnung</w:t>
            </w:r>
          </w:p>
        </w:tc>
        <w:tc>
          <w:tcPr>
            <w:tcW w:type="dxa" w:w="77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Jahresbetrag, Monatsrückstellung und Fälligkeiten stimmen für alle Rhythmen; Quartals-/Jahresfälle werden nicht verzwölffacht.</w:t>
            </w:r>
          </w:p>
        </w:tc>
      </w:tr>
      <w:tr>
        <w:trPr>
          <w:cantSplit/>
        </w:trPr>
        <w:tc>
          <w:tcPr>
            <w:tcW w:type="dxa" w:w="20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XLS-Kontrolle</w:t>
            </w:r>
          </w:p>
        </w:tc>
        <w:tc>
          <w:tcPr>
            <w:tcW w:type="dxa" w:w="77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Kontrollwerte CHF 114’569.39 / CHF 148’775.40 / CHF 34’206.01 / CHF 2’850.50 reproduzierbar; Hypothek CHF 432.92 Rückstellung.</w:t>
            </w:r>
          </w:p>
        </w:tc>
      </w:tr>
      <w:tr>
        <w:trPr>
          <w:cantSplit/>
        </w:trPr>
        <w:tc>
          <w:tcPr>
            <w:tcW w:type="dxa" w:w="20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Warnungen</w:t>
            </w:r>
          </w:p>
        </w:tc>
        <w:tc>
          <w:tcPr>
            <w:tcW w:type="dxa" w:w="77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Eine Karte pro Vertrag; verständlicher Grund, Datenstand, Forecastwirkung und direkte Aktion; keine Anzeige Priorität normal.</w:t>
            </w:r>
          </w:p>
        </w:tc>
      </w:tr>
      <w:tr>
        <w:trPr>
          <w:cantSplit/>
        </w:trPr>
        <w:tc>
          <w:tcPr>
            <w:tcW w:type="dxa" w:w="20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Budgetstatus</w:t>
            </w:r>
          </w:p>
        </w:tc>
        <w:tc>
          <w:tcPr>
            <w:tcW w:type="dxa" w:w="77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Plan, Ist und Forecast klar getrennt; Einnahmen/Ausgaben visuell und textlich unterscheidbar; Drill-down funktioniert.</w:t>
            </w:r>
          </w:p>
        </w:tc>
      </w:tr>
      <w:tr>
        <w:trPr>
          <w:cantSplit/>
        </w:trPr>
        <w:tc>
          <w:tcPr>
            <w:tcW w:type="dxa" w:w="20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Datenqualität</w:t>
            </w:r>
          </w:p>
        </w:tc>
        <w:tc>
          <w:tcPr>
            <w:tcW w:type="dxa" w:w="77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Offene Apple-/Netflix-Dubletten und VISECA-Differenz werden als Coverage-Lücke behandelt, nicht still eingerechnet oder verschwiegen.</w:t>
            </w:r>
          </w:p>
        </w:tc>
      </w:tr>
      <w:tr>
        <w:trPr>
          <w:cantSplit/>
        </w:trPr>
        <w:tc>
          <w:tcPr>
            <w:tcW w:type="dxa" w:w="20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Sicherheit</w:t>
            </w:r>
          </w:p>
        </w:tc>
        <w:tc>
          <w:tcPr>
            <w:tcW w:type="dxa" w:w="77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GET/Render read-only; produktive Writes nur fingerprint- und datenversionsgebunden; keine Rohdaten/Secrets in Git.</w:t>
            </w:r>
          </w:p>
        </w:tc>
      </w:tr>
    </w:tbl>
    <w:p>
      <w:pPr>
        <w:spacing w:after="20"/>
      </w:pPr>
    </w:p>
    <w:p>
      <w:pPr>
        <w:pStyle w:val="Heading1"/>
      </w:pPr>
      <w:r>
        <w:t>15. Nicht-Scope und Token-/Testdisziplin</w:t>
      </w:r>
    </w:p>
    <w:p>
      <w:pPr>
        <w:pStyle w:val="ListBullet"/>
        <w:keepNext w:val="0"/>
        <w:keepLines w:val="0"/>
        <w:widowControl/>
      </w:pPr>
      <w:r>
        <w:rPr>
          <w:rFonts w:ascii="Aptos" w:hAnsi="Aptos" w:eastAsia="Aptos"/>
          <w:color w:val="1D2939"/>
        </w:rPr>
        <w:t>Keine neue Importquelle, Ledger-, Forecast- oder Chart-Engine.</w:t>
      </w:r>
    </w:p>
    <w:p>
      <w:pPr>
        <w:pStyle w:val="ListBullet"/>
        <w:keepNext w:val="0"/>
        <w:keepLines w:val="0"/>
        <w:widowControl/>
      </w:pPr>
      <w:r>
        <w:rPr>
          <w:rFonts w:ascii="Aptos" w:hAnsi="Aptos" w:eastAsia="Aptos"/>
          <w:color w:val="1D2939"/>
        </w:rPr>
        <w:t>Kein vollständiger Umbau der Heute-Seite; nur budgetbezogene Integration.</w:t>
      </w:r>
    </w:p>
    <w:p>
      <w:pPr>
        <w:pStyle w:val="ListBullet"/>
        <w:keepNext w:val="0"/>
        <w:keepLines w:val="0"/>
        <w:widowControl/>
      </w:pPr>
      <w:r>
        <w:rPr>
          <w:rFonts w:ascii="Aptos" w:hAnsi="Aptos" w:eastAsia="Aptos"/>
          <w:color w:val="1D2939"/>
        </w:rPr>
        <w:t>Kein Vermögens-, Performance- oder Research-Ausbau.</w:t>
      </w:r>
    </w:p>
    <w:p>
      <w:pPr>
        <w:pStyle w:val="ListBullet"/>
        <w:keepNext w:val="0"/>
        <w:keepLines w:val="0"/>
        <w:widowControl/>
      </w:pPr>
      <w:r>
        <w:rPr>
          <w:rFonts w:ascii="Aptos" w:hAnsi="Aptos" w:eastAsia="Aptos"/>
          <w:color w:val="1D2939"/>
        </w:rPr>
        <w:t>Keine produktiven Apple-/Netflix-, VISECA- oder Budget-Confirms durch JARVIS.</w:t>
      </w:r>
    </w:p>
    <w:p>
      <w:pPr>
        <w:pStyle w:val="ListBullet"/>
        <w:keepNext w:val="0"/>
        <w:keepLines w:val="0"/>
        <w:widowControl/>
      </w:pPr>
      <w:r>
        <w:rPr>
          <w:rFonts w:ascii="Aptos" w:hAnsi="Aptos" w:eastAsia="Aptos"/>
          <w:color w:val="1D2939"/>
        </w:rPr>
        <w:t>Kein npm audit fix --force und kein Dependency-Sprint im selben PR.</w:t>
      </w:r>
    </w:p>
    <w:p>
      <w:pPr>
        <w:pStyle w:val="ListBullet"/>
        <w:keepNext w:val="0"/>
        <w:keepLines w:val="0"/>
        <w:widowControl/>
      </w:pPr>
      <w:r>
        <w:rPr>
          <w:rFonts w:ascii="Aptos" w:hAnsi="Aptos" w:eastAsia="Aptos"/>
          <w:color w:val="1D2939"/>
        </w:rPr>
        <w:t>Während der Entwicklung gezielte Tests für geänderte Module; vollständige Suite einmal über CI am finalen Head.</w:t>
      </w:r>
    </w:p>
    <w:p>
      <w:pPr>
        <w:pStyle w:val="ListBullet"/>
        <w:keepNext w:val="0"/>
        <w:keepLines w:val="0"/>
        <w:widowControl/>
      </w:pPr>
      <w:r>
        <w:rPr>
          <w:rFonts w:ascii="Aptos" w:hAnsi="Aptos" w:eastAsia="Aptos"/>
          <w:color w:val="1D2939"/>
        </w:rPr>
        <w:t>Keine parallelen Review-Subagenten; höchstens ein fokussierter Final-Head-Review.</w:t>
      </w:r>
    </w:p>
    <w:p>
      <w:pPr>
        <w:pStyle w:val="ListBullet"/>
        <w:keepNext w:val="0"/>
        <w:keepLines w:val="0"/>
        <w:widowControl/>
      </w:pPr>
      <w:r>
        <w:rPr>
          <w:rFonts w:ascii="Aptos" w:hAnsi="Aptos" w:eastAsia="Aptos"/>
          <w:color w:val="1D2939"/>
        </w:rPr>
        <w:t>Keine wiederholten Browsermatrizen oder Backup-/Restore-Läufe ohne Migration beziehungsweise produktiven Write.</w:t>
      </w:r>
    </w:p>
    <w:p>
      <w:pPr>
        <w:pStyle w:val="Heading1"/>
      </w:pPr>
      <w:r>
        <w:t>16. Lokaler Wissens- und Dokumentationsvertrag</w:t>
      </w: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168A5B"/>
            <w:tcMar>
              <w:top w:w="70" w:type="dxa"/>
              <w:start w:w="100" w:type="dxa"/>
              <w:bottom w:w="70" w:type="dxa"/>
              <w:end w:w="100" w:type="dxa"/>
            </w:tcMar>
            <w:vAlign w:val="center"/>
            <w:tcBorders>
              <w:top w:val="single" w:sz="4" w:color="EAF7F1"/>
              <w:left w:val="single" w:sz="4" w:color="EAF7F1"/>
              <w:bottom w:val="single" w:sz="4" w:color="EAF7F1"/>
              <w:right w:val="single" w:sz="4" w:color="EAF7F1"/>
            </w:tcBorders>
          </w:tcPr>
          <w:p/>
        </w:tc>
        <w:tc>
          <w:tcPr>
            <w:tcW w:type="dxa" w:w="9660"/>
            <w:shd w:fill="EAF7F1"/>
            <w:tcMar>
              <w:top w:w="120" w:type="dxa"/>
              <w:start w:w="100" w:type="dxa"/>
              <w:bottom w:w="120" w:type="dxa"/>
              <w:end w:w="100" w:type="dxa"/>
            </w:tcMar>
            <w:vAlign w:val="center"/>
            <w:tcBorders>
              <w:top w:val="single" w:sz="4" w:color="EAF7F1"/>
              <w:left w:val="single" w:sz="4" w:color="EAF7F1"/>
              <w:bottom w:val="single" w:sz="4" w:color="EAF7F1"/>
              <w:right w:val="single" w:sz="4" w:color="EAF7F1"/>
            </w:tcBorders>
          </w:tcPr>
          <w:p>
            <w:pPr>
              <w:keepNext w:val="0"/>
              <w:keepLines w:val="0"/>
              <w:widowControl/>
              <w:spacing w:after="20"/>
            </w:pPr>
            <w:r>
              <w:rPr>
                <w:rFonts w:ascii="Aptos" w:hAnsi="Aptos" w:eastAsia="Aptos"/>
                <w:b/>
                <w:color w:val="168A5B"/>
                <w:sz w:val="18"/>
              </w:rPr>
              <w:t>Übersicht darf nicht nur im Chat existieren.</w:t>
            </w:r>
            <w:r>
              <w:rPr>
                <w:rFonts w:ascii="Aptos" w:hAnsi="Aptos" w:eastAsia="Aptos"/>
                <w:color w:val="1D2939"/>
                <w:sz w:val="18"/>
              </w:rPr>
              <w:br/>
              <w:t>Vor Beginn von Sprint 17D speichert JARVIS dieses Konzept und einen kompakten Projektcheckpoint lokal. Nach jedem Merge aktualisiert er Release-SHA, Schema, Teststand, erledigte Ziele, offene Nutzerentscheide und nächsten Sprint in denselben kanonischen Dateien.</w:t>
            </w:r>
          </w:p>
        </w:tc>
      </w:tr>
    </w:tbl>
    <w:p>
      <w:pPr>
        <w:spacing w:after="20"/>
      </w:pPr>
    </w:p>
    <w:tbl>
      <w:tblPr>
        <w:tblW w:type="dxa" w:w="9840"/>
        <w:tblLayout w:type="fixed"/>
        <w:tblLook w:firstColumn="1" w:firstRow="1" w:lastColumn="0" w:lastRow="0" w:noHBand="0" w:noVBand="1" w:val="04A0"/>
        <w:jc w:val="left"/>
        <w:tblInd w:w="100" w:type="dxa"/>
      </w:tblPr>
      <w:tblGrid>
        <w:gridCol w:w="3350"/>
        <w:gridCol w:w="6490"/>
      </w:tblGrid>
      <w:tr>
        <w:trPr>
          <w:trHeight w:hRule="atLeast"/>
          <w:tblHeader w:val="true"/>
        </w:trPr>
        <w:tc>
          <w:tcPr>
            <w:tcW w:type="dxa" w:w="33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Lokale Datei</w:t>
            </w:r>
          </w:p>
        </w:tc>
        <w:tc>
          <w:tcPr>
            <w:tcW w:type="dxa" w:w="649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Verbindlicher Inhalt</w:t>
            </w:r>
          </w:p>
        </w:tc>
      </w:tr>
      <w:tr>
        <w:trPr>
          <w:cantSplit/>
        </w:trPr>
        <w:tc>
          <w:tcPr>
            <w:tcW w:type="dxa" w:w="33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docs/product/FinanceManager_Umsetzungs_und_Zielkonzept_v2.2_2026-08-01.docx</w:t>
            </w:r>
          </w:p>
        </w:tc>
        <w:tc>
          <w:tcPr>
            <w:tcW w:type="dxa" w:w="64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Unveränderte lokale Kopie dieses Dokuments; in Git nur, wenn das Repository bereits Produktdokumente dieser Art versioniert und keine privaten Daten enthalten sind.</w:t>
            </w:r>
          </w:p>
        </w:tc>
      </w:tr>
      <w:tr>
        <w:trPr>
          <w:cantSplit/>
        </w:trPr>
        <w:tc>
          <w:tcPr>
            <w:tcW w:type="dxa" w:w="33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docs/product/FINANCEMANAGER_PRODUCT_BASELINE.md</w:t>
            </w:r>
          </w:p>
        </w:tc>
        <w:tc>
          <w:tcPr>
            <w:tcW w:type="dxa" w:w="64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Aktuelles Zielbild, bindende Regeln, Roadmap, Nicht-Scope und Link/Verweis auf das Konzept.</w:t>
            </w:r>
          </w:p>
        </w:tc>
      </w:tr>
      <w:tr>
        <w:trPr>
          <w:cantSplit/>
        </w:trPr>
        <w:tc>
          <w:tcPr>
            <w:tcW w:type="dxa" w:w="33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docs/roadmap/FINANCEMANAGER_STATUS.md</w:t>
            </w:r>
          </w:p>
        </w:tc>
        <w:tc>
          <w:tcPr>
            <w:tcW w:type="dxa" w:w="64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Produktiv-SHA, Schema, Services, Teststand, abgeschlossene Sprints, aktueller Sprint, offene Nutzerentscheide und bekannte Datenlücken.</w:t>
            </w:r>
          </w:p>
        </w:tc>
      </w:tr>
      <w:tr>
        <w:trPr>
          <w:cantSplit/>
        </w:trPr>
        <w:tc>
          <w:tcPr>
            <w:tcW w:type="dxa" w:w="33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Lokale JARVIS-Projektmemory</w:t>
            </w:r>
          </w:p>
        </w:tc>
        <w:tc>
          <w:tcPr>
            <w:tcW w:type="dxa" w:w="64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Kurzer Verweis auf die beiden kanonischen Markdown-Dateien; keine zweite ausführliche und driftende Roadmap.</w:t>
            </w:r>
          </w:p>
        </w:tc>
      </w:tr>
    </w:tbl>
    <w:p>
      <w:pPr>
        <w:spacing w:after="20"/>
      </w:pPr>
    </w:p>
    <w:p>
      <w:pPr>
        <w:pStyle w:val="ListBullet"/>
        <w:keepNext w:val="0"/>
        <w:keepLines w:val="0"/>
        <w:widowControl/>
      </w:pPr>
      <w:r>
        <w:rPr>
          <w:rFonts w:ascii="Aptos" w:hAnsi="Aptos" w:eastAsia="Aptos"/>
          <w:color w:val="1D2939"/>
        </w:rPr>
        <w:t>Keine Runtime-Daten, Kontoangaben, echte Händlerlisten, Exporte, Backups oder Secrets in Git speichern.</w:t>
      </w:r>
    </w:p>
    <w:p>
      <w:pPr>
        <w:pStyle w:val="ListBullet"/>
        <w:keepNext w:val="0"/>
        <w:keepLines w:val="0"/>
        <w:widowControl/>
      </w:pPr>
      <w:r>
        <w:rPr>
          <w:rFonts w:ascii="Aptos" w:hAnsi="Aptos" w:eastAsia="Aptos"/>
          <w:color w:val="1D2939"/>
        </w:rPr>
        <w:t>Vorhandene Dokumentationsstruktur verwenden; keine parallelen Ordner oder doppelte Statusdateien erzeugen.</w:t>
      </w:r>
    </w:p>
    <w:p>
      <w:pPr>
        <w:pStyle w:val="ListBullet"/>
        <w:keepNext w:val="0"/>
        <w:keepLines w:val="0"/>
        <w:widowControl/>
      </w:pPr>
      <w:r>
        <w:rPr>
          <w:rFonts w:ascii="Aptos" w:hAnsi="Aptos" w:eastAsia="Aptos"/>
          <w:color w:val="1D2939"/>
        </w:rPr>
        <w:t>Wenn Pfade im Repository anders heissen, zuerst die bestehenden kanonischen Dateien ermitteln und dort aktualisieren.</w:t>
      </w:r>
    </w:p>
    <w:p>
      <w:pPr>
        <w:pStyle w:val="ListBullet"/>
        <w:keepNext w:val="0"/>
        <w:keepLines w:val="0"/>
        <w:widowControl/>
      </w:pPr>
      <w:r>
        <w:rPr>
          <w:rFonts w:ascii="Aptos" w:hAnsi="Aptos" w:eastAsia="Aptos"/>
          <w:color w:val="1D2939"/>
        </w:rPr>
        <w:t>Jeder Abschlussbericht nennt die lokal aktualisierten Dokumente und den neuen produktiven SHA.</w:t>
      </w:r>
    </w:p>
    <w:p>
      <w:pPr>
        <w:pStyle w:val="Heading1"/>
      </w:pPr>
      <w:r>
        <w:t>17. Quellen und Versionsverlauf</w:t>
      </w:r>
    </w:p>
    <w:tbl>
      <w:tblPr>
        <w:tblW w:type="dxa" w:w="9840"/>
        <w:tblLayout w:type="fixed"/>
        <w:tblLook w:firstColumn="1" w:firstRow="1" w:lastColumn="0" w:lastRow="0" w:noHBand="0" w:noVBand="1" w:val="04A0"/>
        <w:jc w:val="left"/>
        <w:tblInd w:w="100" w:type="dxa"/>
      </w:tblPr>
      <w:tblGrid>
        <w:gridCol w:w="3900"/>
        <w:gridCol w:w="5940"/>
      </w:tblGrid>
      <w:tr>
        <w:trPr>
          <w:trHeight w:hRule="atLeast"/>
          <w:tblHeader w:val="true"/>
        </w:trPr>
        <w:tc>
          <w:tcPr>
            <w:tcW w:type="dxa" w:w="39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Quelle</w:t>
            </w:r>
          </w:p>
        </w:tc>
        <w:tc>
          <w:tcPr>
            <w:tcW w:type="dxa" w:w="594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5"/>
              </w:rPr>
              <w:t>Verwendung</w:t>
            </w:r>
          </w:p>
        </w:tc>
      </w:tr>
      <w:tr>
        <w:trPr>
          <w:cantSplit/>
        </w:trPr>
        <w:tc>
          <w:tcPr>
            <w:tcW w:type="dxa" w:w="39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FinanceManager Umsetzungs- und Zielkonzept 2.1, 29.07.2026</w:t>
            </w:r>
          </w:p>
        </w:tc>
        <w:tc>
          <w:tcPr>
            <w:tcW w:type="dxa" w:w="59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Produktprinzipien, Haushalts-Cockpit, Berechnungsverträge und Roadmap-Basis.</w:t>
            </w:r>
          </w:p>
        </w:tc>
      </w:tr>
      <w:tr>
        <w:trPr>
          <w:cantSplit/>
        </w:trPr>
        <w:tc>
          <w:tcPr>
            <w:tcW w:type="dxa" w:w="39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GitHub PR #29 und Commit eeb1806e…, 01.08.2026</w:t>
            </w:r>
          </w:p>
        </w:tc>
        <w:tc>
          <w:tcPr>
            <w:tcW w:type="dxa" w:w="59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Verifizierter Code-, Merge- und Release-Stand von Sprint 17C.</w:t>
            </w:r>
          </w:p>
        </w:tc>
      </w:tr>
      <w:tr>
        <w:trPr>
          <w:cantSplit/>
        </w:trPr>
        <w:tc>
          <w:tcPr>
            <w:tcW w:type="dxa" w:w="39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Sprint-17C-Abschlussbericht, 01.08.2026</w:t>
            </w:r>
          </w:p>
        </w:tc>
        <w:tc>
          <w:tcPr>
            <w:tcW w:type="dxa" w:w="59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Deployment, Services, Tests, Apple-/Netflix-Previews, VISECA und produktive UAT.</w:t>
            </w:r>
          </w:p>
        </w:tc>
      </w:tr>
      <w:tr>
        <w:trPr>
          <w:cantSplit/>
        </w:trPr>
        <w:tc>
          <w:tcPr>
            <w:tcW w:type="dxa" w:w="39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Nutzerbeobachtungen Fixkosten &amp; Abos, 01.08.2026</w:t>
            </w:r>
          </w:p>
        </w:tc>
        <w:tc>
          <w:tcPr>
            <w:tcW w:type="dxa" w:w="59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Editierbare Periodizität, Vignettenfehlklassifikation, Warnungs-UX und Budgetstatus.</w:t>
            </w:r>
          </w:p>
        </w:tc>
      </w:tr>
      <w:tr>
        <w:trPr>
          <w:cantSplit/>
        </w:trPr>
        <w:tc>
          <w:tcPr>
            <w:tcW w:type="dxa" w:w="39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Bisherige Budget-XLS</w:t>
            </w:r>
          </w:p>
        </w:tc>
        <w:tc>
          <w:tcPr>
            <w:tcW w:type="dxa" w:w="594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Plan-/Forecast-Zielbild und Kontrollrechnung für Quartals-/Jahresrhythmen.</w:t>
            </w:r>
          </w:p>
        </w:tc>
      </w:tr>
      <w:tr>
        <w:trPr>
          <w:cantSplit/>
        </w:trPr>
        <w:tc>
          <w:tcPr>
            <w:tcW w:type="dxa" w:w="39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JARVIS Command Integration Candidates / Concept Review / Finance Inventory</w:t>
            </w:r>
          </w:p>
        </w:tc>
        <w:tc>
          <w:tcPr>
            <w:tcW w:type="dxa" w:w="594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5"/>
              </w:rPr>
              <w:t>Read-only-first, Preview-Confirm-Audit, iPad-UX, sanitierte globale Statusgrenze und Link-out.</w:t>
            </w:r>
          </w:p>
        </w:tc>
      </w:tr>
    </w:tbl>
    <w:p>
      <w:pPr>
        <w:spacing w:after="20"/>
      </w:pPr>
    </w:p>
    <w:p>
      <w:pPr>
        <w:spacing w:after="80"/>
      </w:pPr>
      <w:r>
        <w:rPr>
          <w:rFonts w:ascii="Aptos" w:hAnsi="Aptos" w:eastAsia="Aptos"/>
          <w:b/>
          <w:color w:val="1D2939"/>
        </w:rPr>
        <w:t xml:space="preserve">GitHub: </w:t>
      </w:r>
      <w:hyperlink r:id="rId11">
        <w:r>
          <w:rPr>
            <w:rStyle w:val="Hyperlink"/>
            <w:color w:val="0788A5"/>
            <w:u w:val="single"/>
          </w:rPr>
          <w:t>PR #29</w:t>
        </w:r>
      </w:hyperlink>
      <w:r>
        <w:rPr>
          <w:rFonts w:ascii="Aptos" w:hAnsi="Aptos" w:eastAsia="Aptos"/>
          <w:color w:val="667085"/>
        </w:rPr>
        <w:t xml:space="preserve">  ·  </w:t>
      </w:r>
      <w:hyperlink r:id="rId12">
        <w:r>
          <w:rPr>
            <w:rStyle w:val="Hyperlink"/>
            <w:color w:val="0788A5"/>
            <w:u w:val="single"/>
          </w:rPr>
          <w:t>Produktions-Commit eeb1806e…</w:t>
        </w:r>
      </w:hyperlink>
    </w:p>
    <w:tbl>
      <w:tblPr>
        <w:tblW w:type="dxa" w:w="9840"/>
        <w:tblLayout w:type="fixed"/>
        <w:tblLook w:firstColumn="1" w:firstRow="1" w:lastColumn="0" w:lastRow="0" w:noHBand="0" w:noVBand="1" w:val="04A0"/>
        <w:jc w:val="left"/>
        <w:tblInd w:w="100" w:type="dxa"/>
      </w:tblPr>
      <w:tblGrid>
        <w:gridCol w:w="1250"/>
        <w:gridCol w:w="1700"/>
        <w:gridCol w:w="6890"/>
      </w:tblGrid>
      <w:tr>
        <w:trPr>
          <w:trHeight w:hRule="atLeast"/>
          <w:tblHeader w:val="true"/>
        </w:trPr>
        <w:tc>
          <w:tcPr>
            <w:tcW w:type="dxa" w:w="125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Version</w:t>
            </w:r>
          </w:p>
        </w:tc>
        <w:tc>
          <w:tcPr>
            <w:tcW w:type="dxa" w:w="170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Datum</w:t>
            </w:r>
          </w:p>
        </w:tc>
        <w:tc>
          <w:tcPr>
            <w:tcW w:type="dxa" w:w="6890"/>
            <w:shd w:fill="14213D"/>
            <w:tcMar>
              <w:top w:w="90" w:type="dxa"/>
              <w:start w:w="100" w:type="dxa"/>
              <w:bottom w:w="90" w:type="dxa"/>
              <w:end w:w="100" w:type="dxa"/>
            </w:tcMar>
            <w:tcBorders>
              <w:top w:val="single" w:sz="4" w:color="14213D"/>
              <w:left w:val="single" w:sz="4" w:color="14213D"/>
              <w:bottom w:val="single" w:sz="4" w:color="14213D"/>
              <w:right w:val="single" w:sz="4" w:color="14213D"/>
            </w:tcBorders>
          </w:tcPr>
          <w:p>
            <w:pPr>
              <w:spacing w:after="0"/>
            </w:pPr>
            <w:r>
              <w:rPr>
                <w:rFonts w:ascii="Aptos" w:hAnsi="Aptos" w:eastAsia="Aptos"/>
                <w:b/>
                <w:color w:val="FFFFFF"/>
                <w:sz w:val="16"/>
              </w:rPr>
              <w:t>Änderung</w:t>
            </w:r>
          </w:p>
        </w:tc>
      </w:tr>
      <w:tr>
        <w:trPr>
          <w:cantSplit/>
        </w:trPr>
        <w:tc>
          <w:tcPr>
            <w:tcW w:type="dxa" w:w="12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2.0</w:t>
            </w:r>
          </w:p>
        </w:tc>
        <w:tc>
          <w:tcPr>
            <w:tcW w:type="dxa" w:w="17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28.07.2026</w:t>
            </w:r>
          </w:p>
        </w:tc>
        <w:tc>
          <w:tcPr>
            <w:tcW w:type="dxa" w:w="68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Gesamtzielbild für Haushalt, Budget, Vermögen, Research und Heute.</w:t>
            </w:r>
          </w:p>
        </w:tc>
      </w:tr>
      <w:tr>
        <w:trPr>
          <w:cantSplit/>
        </w:trPr>
        <w:tc>
          <w:tcPr>
            <w:tcW w:type="dxa" w:w="125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2.1</w:t>
            </w:r>
          </w:p>
        </w:tc>
        <w:tc>
          <w:tcPr>
            <w:tcW w:type="dxa" w:w="170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29.07.2026</w:t>
            </w:r>
          </w:p>
        </w:tc>
        <w:tc>
          <w:tcPr>
            <w:tcW w:type="dxa" w:w="6890"/>
            <w:shd w:fill="F6F8FB"/>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Nach Erstimport: Review-Korrektheit, Haushalts-Cockpit und revidierte Sprintfolge.</w:t>
            </w:r>
          </w:p>
        </w:tc>
      </w:tr>
      <w:tr>
        <w:trPr>
          <w:cantSplit/>
        </w:trPr>
        <w:tc>
          <w:tcPr>
            <w:tcW w:type="dxa" w:w="125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2.2</w:t>
            </w:r>
          </w:p>
        </w:tc>
        <w:tc>
          <w:tcPr>
            <w:tcW w:type="dxa" w:w="170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01.08.2026</w:t>
            </w:r>
          </w:p>
        </w:tc>
        <w:tc>
          <w:tcPr>
            <w:tcW w:type="dxa" w:w="6890"/>
            <w:shd w:fill="FFFFFF"/>
            <w:tcMar>
              <w:top w:w="85" w:type="dxa"/>
              <w:start w:w="100" w:type="dxa"/>
              <w:bottom w:w="85" w:type="dxa"/>
              <w:end w:w="100" w:type="dxa"/>
            </w:tcMar>
            <w:tcBorders>
              <w:top w:val="single" w:sz="2" w:color="D9E2EC"/>
              <w:left w:val="single" w:sz="2" w:color="D9E2EC"/>
              <w:bottom w:val="single" w:sz="2" w:color="D9E2EC"/>
              <w:right w:val="single" w:sz="2" w:color="D9E2EC"/>
            </w:tcBorders>
          </w:tcPr>
          <w:p>
            <w:pPr>
              <w:spacing w:after="0" w:line="245" w:lineRule="auto"/>
            </w:pPr>
            <w:r>
              <w:rPr>
                <w:rFonts w:ascii="Aptos" w:hAnsi="Aptos" w:eastAsia="Aptos"/>
                <w:color w:val="1D2939"/>
                <w:sz w:val="16"/>
              </w:rPr>
              <w:t>Nach Sprint 17C: Jahresbudgetassistent, editierbare Zahlungsrhythmen, Warnungs-UX, Forecastlogik und lokale Dokumentationspflicht.</w:t>
            </w:r>
          </w:p>
        </w:tc>
      </w:tr>
    </w:tbl>
    <w:p>
      <w:pPr>
        <w:spacing w:after="20"/>
      </w:pPr>
    </w:p>
    <w:tbl>
      <w:tblPr>
        <w:tblW w:type="dxa" w:w="9840"/>
        <w:tblLayout w:type="fixed"/>
        <w:tblLook w:firstColumn="1" w:firstRow="1" w:lastColumn="0" w:lastRow="0" w:noHBand="0" w:noVBand="1" w:val="04A0"/>
        <w:jc w:val="left"/>
        <w:tblInd w:w="100" w:type="dxa"/>
      </w:tblPr>
      <w:tblGrid>
        <w:gridCol w:w="180"/>
        <w:gridCol w:w="9660"/>
      </w:tblGrid>
      <w:tr>
        <w:trPr>
          <w:cantSplit/>
        </w:trPr>
        <w:tc>
          <w:tcPr>
            <w:tcW w:type="dxa" w:w="180"/>
            <w:shd w:fill="168A5B"/>
            <w:tcMar>
              <w:top w:w="70" w:type="dxa"/>
              <w:start w:w="100" w:type="dxa"/>
              <w:bottom w:w="70" w:type="dxa"/>
              <w:end w:w="100" w:type="dxa"/>
            </w:tcMar>
            <w:vAlign w:val="center"/>
            <w:tcBorders>
              <w:top w:val="single" w:sz="4" w:color="EAF7F1"/>
              <w:left w:val="single" w:sz="4" w:color="EAF7F1"/>
              <w:bottom w:val="single" w:sz="4" w:color="EAF7F1"/>
              <w:right w:val="single" w:sz="4" w:color="EAF7F1"/>
            </w:tcBorders>
          </w:tcPr>
          <w:p/>
        </w:tc>
        <w:tc>
          <w:tcPr>
            <w:tcW w:type="dxa" w:w="9660"/>
            <w:shd w:fill="EAF7F1"/>
            <w:tcMar>
              <w:top w:w="120" w:type="dxa"/>
              <w:start w:w="100" w:type="dxa"/>
              <w:bottom w:w="120" w:type="dxa"/>
              <w:end w:w="100" w:type="dxa"/>
            </w:tcMar>
            <w:vAlign w:val="center"/>
            <w:tcBorders>
              <w:top w:val="single" w:sz="4" w:color="EAF7F1"/>
              <w:left w:val="single" w:sz="4" w:color="EAF7F1"/>
              <w:bottom w:val="single" w:sz="4" w:color="EAF7F1"/>
              <w:right w:val="single" w:sz="4" w:color="EAF7F1"/>
            </w:tcBorders>
          </w:tcPr>
          <w:p>
            <w:pPr>
              <w:keepNext w:val="0"/>
              <w:keepLines w:val="0"/>
              <w:widowControl/>
              <w:spacing w:after="20"/>
            </w:pPr>
            <w:r>
              <w:rPr>
                <w:rFonts w:ascii="Aptos" w:hAnsi="Aptos" w:eastAsia="Aptos"/>
                <w:b/>
                <w:color w:val="168A5B"/>
                <w:sz w:val="18"/>
              </w:rPr>
              <w:t>Dokumentstatus</w:t>
            </w:r>
            <w:r>
              <w:rPr>
                <w:rFonts w:ascii="Aptos" w:hAnsi="Aptos" w:eastAsia="Aptos"/>
                <w:color w:val="1D2939"/>
                <w:sz w:val="18"/>
              </w:rPr>
              <w:br/>
              <w:t>Version 2.2 ist die verbindliche Fortschreibung von Version 2.1 für den Produktionsstand eeb1806e… sowie die Sprints 17D–20. Wo frühere Sprintnummern oder Budgetziele kollidieren, gilt Version 2.2.</w:t>
            </w:r>
          </w:p>
        </w:tc>
      </w:tr>
    </w:tbl>
    <w:p>
      <w:pPr>
        <w:spacing w:after="20"/>
      </w:pPr>
    </w:p>
    <w:sectPr w:rsidR="00FC693F" w:rsidRPr="0006063C" w:rsidSect="00034616">
      <w:headerReference w:type="default" r:id="rId9"/>
      <w:footerReference w:type="default" r:id="rId10"/>
      <w:pgSz w:w="11906" w:h="16838"/>
      <w:pgMar w:top="935" w:right="1020" w:bottom="879" w:left="1020"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Aptos" w:hAnsi="Aptos" w:eastAsia="Aptos"/>
        <w:color w:val="667085"/>
        <w:sz w:val="14"/>
      </w:rPr>
      <w:t xml:space="preserve">01.08.2026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eastAsia="Aptos"/>
        <w:b/>
        <w:color w:val="0788A5"/>
        <w:sz w:val="15"/>
      </w:rPr>
      <w:t>FINANCEMANAGER  ·  UMSETZUNGS- UND ZIELKONZEPT 2.2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90" w:line="259" w:lineRule="auto"/>
    </w:pPr>
    <w:rPr>
      <w:rFonts w:ascii="Aptos" w:hAnsi="Aptos" w:eastAsia="Aptos"/>
      <w:color w:val="1D2939"/>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60" w:after="120"/>
      <w:outlineLvl w:val="0"/>
    </w:pPr>
    <w:rPr>
      <w:rFonts w:asciiTheme="majorHAnsi" w:eastAsiaTheme="majorEastAsia" w:hAnsiTheme="majorHAnsi" w:cstheme="majorBidi" w:ascii="Aptos Display" w:hAnsi="Aptos Display" w:eastAsia="Aptos Display"/>
      <w:b/>
      <w:bCs/>
      <w:color w:val="14213D"/>
      <w:sz w:val="34"/>
      <w:szCs w:val="28"/>
    </w:rPr>
  </w:style>
  <w:style w:type="paragraph" w:styleId="Heading2">
    <w:name w:val="heading 2"/>
    <w:basedOn w:val="Normal"/>
    <w:next w:val="Normal"/>
    <w:link w:val="Heading2Char"/>
    <w:uiPriority w:val="9"/>
    <w:unhideWhenUsed/>
    <w:qFormat/>
    <w:rsid w:val="00FC693F"/>
    <w:pPr>
      <w:keepNext/>
      <w:keepLines/>
      <w:widowControl/>
      <w:spacing w:before="180" w:after="80"/>
      <w:outlineLvl w:val="1"/>
    </w:pPr>
    <w:rPr>
      <w:rFonts w:asciiTheme="majorHAnsi" w:eastAsiaTheme="majorEastAsia" w:hAnsiTheme="majorHAnsi" w:cstheme="majorBidi" w:ascii="Aptos" w:hAnsi="Aptos" w:eastAsia="Aptos"/>
      <w:b/>
      <w:bCs/>
      <w:color w:val="0788A5"/>
      <w:sz w:val="25"/>
      <w:szCs w:val="26"/>
    </w:rPr>
  </w:style>
  <w:style w:type="paragraph" w:styleId="Heading3">
    <w:name w:val="heading 3"/>
    <w:basedOn w:val="Normal"/>
    <w:next w:val="Normal"/>
    <w:link w:val="Heading3Char"/>
    <w:uiPriority w:val="9"/>
    <w:unhideWhenUsed/>
    <w:qFormat/>
    <w:rsid w:val="00FC693F"/>
    <w:pPr>
      <w:keepNext/>
      <w:keepLines/>
      <w:widowControl/>
      <w:spacing w:before="140" w:after="60"/>
      <w:outlineLvl w:val="2"/>
    </w:pPr>
    <w:rPr>
      <w:rFonts w:asciiTheme="majorHAnsi" w:eastAsiaTheme="majorEastAsia" w:hAnsiTheme="majorHAnsi" w:cstheme="majorBidi" w:ascii="Aptos" w:hAnsi="Aptos" w:eastAsia="Aptos"/>
      <w:b/>
      <w:bCs/>
      <w:color w:val="14213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eastAsia="Aptos Display"/>
      <w:b/>
      <w:color w:val="14213D"/>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160"/>
    </w:pPr>
    <w:rPr>
      <w:rFonts w:asciiTheme="majorHAnsi" w:eastAsiaTheme="majorEastAsia" w:hAnsiTheme="majorHAnsi" w:cstheme="majorBidi" w:ascii="Aptos" w:hAnsi="Aptos" w:eastAsia="Aptos"/>
      <w:b w:val="0"/>
      <w:i/>
      <w:iCs/>
      <w:color w:val="66708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after="50" w:line="252" w:lineRule="auto"/>
      <w:ind w:left="312" w:hanging="159"/>
      <w:contextualSpacing/>
    </w:pPr>
    <w:rPr>
      <w:rFonts w:ascii="Aptos" w:hAnsi="Aptos" w:eastAsia="Aptos"/>
      <w:color w:val="1D2939"/>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after="50" w:line="252" w:lineRule="auto"/>
      <w:ind w:left="312" w:hanging="159"/>
      <w:contextualSpacing/>
    </w:pPr>
    <w:rPr>
      <w:rFonts w:ascii="Aptos" w:hAnsi="Aptos" w:eastAsia="Aptos"/>
      <w:color w:val="1D2939"/>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github.com/Gamexgit/FinanceManager/pull/29" TargetMode="External"/><Relationship Id="rId12" Type="http://schemas.openxmlformats.org/officeDocument/2006/relationships/hyperlink" Target="https://github.com/Gamexgit/FinanceManager/commit/eeb1806e76783277c41dd5a8dbe7b73ccf844f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FinanceManager - Umsetzungs- und Zielkonzept v2.2</dc:title>
  <dc:subject>Verbindliches Zielbild nach Sprint 17C und Scope fuer Sprint 17D</dc:subject>
  <dc:creator>OpenAI fuer FinanceManager</dc:creator>
  <cp:keywords>FinanceManager, Jahresbudget, Fixkosten, Abos, Forecast, UX, Sprint 17D</cp:keywords>
  <dc:description>Fortschreibung von v2.1 nach produktivem Abschluss von Sprint 17C.</dc:description>
  <cp:lastModifiedBy/>
  <cp:revision>1</cp:revision>
  <dcterms:created xsi:type="dcterms:W3CDTF">2013-12-23T23:15:00Z</dcterms:created>
  <dcterms:modified xsi:type="dcterms:W3CDTF">2013-12-23T23:15:00Z</dcterms:modified>
  <cp:category/>
</cp:coreProperties>
</file>